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B49360">
      <w:pPr>
        <w:jc w:val="center"/>
        <w:rPr>
          <w:rFonts w:hint="eastAsia" w:ascii="黑体" w:hAnsi="黑体" w:eastAsia="黑体" w:cs="黑体"/>
          <w:b w:val="0"/>
          <w:bCs w:val="0"/>
          <w:color w:val="auto"/>
          <w:sz w:val="36"/>
          <w:szCs w:val="36"/>
          <w:lang w:val="en-US" w:eastAsia="zh-CN"/>
        </w:rPr>
      </w:pPr>
      <w:r>
        <w:rPr>
          <w:rFonts w:hint="eastAsia" w:ascii="黑体" w:hAnsi="黑体" w:eastAsia="黑体" w:cs="黑体"/>
          <w:b w:val="0"/>
          <w:bCs w:val="0"/>
          <w:color w:val="auto"/>
          <w:sz w:val="36"/>
          <w:szCs w:val="36"/>
          <w:lang w:val="en-US" w:eastAsia="zh-CN"/>
        </w:rPr>
        <w:t>眉山洪雅通用机场项目</w:t>
      </w:r>
    </w:p>
    <w:p w14:paraId="64BA9174">
      <w:pPr>
        <w:jc w:val="center"/>
        <w:rPr>
          <w:rFonts w:hint="eastAsia" w:ascii="黑体" w:hAnsi="黑体" w:eastAsia="黑体" w:cs="黑体"/>
          <w:b w:val="0"/>
          <w:bCs w:val="0"/>
          <w:color w:val="auto"/>
          <w:sz w:val="36"/>
          <w:szCs w:val="36"/>
          <w:lang w:val="en-US" w:eastAsia="zh-CN"/>
        </w:rPr>
      </w:pPr>
      <w:r>
        <w:rPr>
          <w:rFonts w:hint="eastAsia" w:ascii="黑体" w:hAnsi="黑体" w:eastAsia="黑体" w:cs="黑体"/>
          <w:b w:val="0"/>
          <w:bCs w:val="0"/>
          <w:color w:val="auto"/>
          <w:sz w:val="36"/>
          <w:szCs w:val="36"/>
          <w:lang w:val="en-US" w:eastAsia="zh-CN"/>
        </w:rPr>
        <w:t>情况说明</w:t>
      </w:r>
    </w:p>
    <w:p w14:paraId="0E931DBC">
      <w:pPr>
        <w:pageBreakBefore w:val="0"/>
        <w:numPr>
          <w:ilvl w:val="0"/>
          <w:numId w:val="1"/>
        </w:numPr>
        <w:kinsoku/>
        <w:wordWrap/>
        <w:overflowPunct/>
        <w:topLinePunct w:val="0"/>
        <w:autoSpaceDE/>
        <w:autoSpaceDN/>
        <w:bidi w:val="0"/>
        <w:adjustRightInd/>
        <w:snapToGrid/>
        <w:spacing w:beforeAutospacing="0" w:line="360" w:lineRule="auto"/>
        <w:ind w:left="0" w:leftChars="0" w:right="0" w:rightChars="0" w:firstLine="643" w:firstLineChars="200"/>
        <w:jc w:val="both"/>
        <w:outlineLvl w:val="0"/>
        <w:rPr>
          <w:rFonts w:hint="eastAsia" w:ascii="仿宋" w:hAnsi="仿宋" w:eastAsia="仿宋"/>
          <w:b/>
          <w:bCs/>
          <w:color w:val="auto"/>
          <w:sz w:val="32"/>
          <w:szCs w:val="32"/>
        </w:rPr>
      </w:pPr>
      <w:bookmarkStart w:id="0" w:name="_Toc9880"/>
      <w:bookmarkStart w:id="1" w:name="_Toc28110"/>
      <w:r>
        <w:rPr>
          <w:rFonts w:hint="eastAsia" w:ascii="仿宋" w:hAnsi="仿宋" w:eastAsia="仿宋"/>
          <w:b/>
          <w:bCs/>
          <w:color w:val="auto"/>
          <w:sz w:val="32"/>
          <w:szCs w:val="32"/>
        </w:rPr>
        <w:t>项目基本情况</w:t>
      </w:r>
      <w:bookmarkEnd w:id="0"/>
      <w:bookmarkEnd w:id="1"/>
    </w:p>
    <w:p w14:paraId="7894AC1A">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lang w:val="en-US"/>
        </w:rPr>
      </w:pPr>
      <w:bookmarkStart w:id="2" w:name="_Toc498385714"/>
      <w:bookmarkStart w:id="3" w:name="_Toc498385045"/>
      <w:bookmarkStart w:id="4" w:name="_Toc29323"/>
      <w:bookmarkStart w:id="5" w:name="_Toc29907"/>
      <w:r>
        <w:rPr>
          <w:rFonts w:hint="eastAsia" w:ascii="仿宋" w:hAnsi="仿宋" w:eastAsia="仿宋"/>
          <w:b/>
          <w:bCs/>
          <w:color w:val="auto"/>
          <w:sz w:val="32"/>
          <w:szCs w:val="32"/>
          <w:lang w:val="en-US"/>
        </w:rPr>
        <w:t>（一）</w:t>
      </w:r>
      <w:bookmarkEnd w:id="2"/>
      <w:bookmarkEnd w:id="3"/>
      <w:r>
        <w:rPr>
          <w:rFonts w:hint="eastAsia" w:ascii="仿宋" w:hAnsi="仿宋" w:eastAsia="仿宋"/>
          <w:b/>
          <w:bCs/>
          <w:color w:val="auto"/>
          <w:sz w:val="32"/>
          <w:szCs w:val="32"/>
          <w:lang w:val="en-US"/>
        </w:rPr>
        <w:t>市县及级行业专项规划概况</w:t>
      </w:r>
      <w:bookmarkEnd w:id="4"/>
      <w:bookmarkEnd w:id="5"/>
    </w:p>
    <w:p w14:paraId="7739A13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color w:val="auto"/>
          <w:kern w:val="0"/>
          <w:sz w:val="32"/>
          <w:szCs w:val="32"/>
          <w:lang w:val="en-US" w:eastAsia="zh-CN" w:bidi="ar"/>
        </w:rPr>
      </w:pPr>
      <w:bookmarkStart w:id="6" w:name="_Toc9205"/>
      <w:bookmarkStart w:id="7" w:name="_Toc14591"/>
      <w:r>
        <w:rPr>
          <w:rFonts w:hint="eastAsia" w:ascii="仿宋" w:hAnsi="仿宋" w:eastAsia="仿宋" w:cs="仿宋"/>
          <w:color w:val="auto"/>
          <w:kern w:val="0"/>
          <w:sz w:val="32"/>
          <w:szCs w:val="32"/>
          <w:lang w:val="en-US" w:eastAsia="zh-CN" w:bidi="ar"/>
        </w:rPr>
        <w:t>洪雅县位于四川盆地西南边缘,地理位置跨东经102°49′—103°32′，北纬29°24′—30°00′，全县幅员面积1896.49平方公里。东北与夹江县、丹棱县接壤，东南与峨眉山市、金口河区毗邻，西南与荥经县、汉源县交界，西北与雅安市、名山县相连。南北相距64km，北宽43km，南宽46km。中部狭窄处仅15km，形如哑铃，斜置于峨眉山、大相岭和总岗山之间。</w:t>
      </w:r>
    </w:p>
    <w:p w14:paraId="77C4800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根据眉山市地区生产总值统一核算结果：2023年，洪雅县地区生产总值（GDP）160.33亿元，按可比价计算，比上年增长7.6%。其中，第一产业增加值完成23.95亿元，增长4.4%；第二产业增加值完成48.66亿元，增长9.7%；第三产业增加值完成87.72亿元，增长7.5%。三次产业对GDP增长的贡献率分别为9.9%、37.8%、52.3%，分别拉动GDP增长0.7、2.9、4.0个百分点。三次产业结构由上年的16.1:30.2:53.7调整为14.9:30.4:54.7。按常住人口计算，人均地区生产总值54277元，增长7.8%。</w:t>
      </w:r>
    </w:p>
    <w:p w14:paraId="49C376E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2023年，全部工业增加值38.74亿元，增长9.7%，其中规模以上工业增加值增长16.7％。全县规模以上工业企业60户，实现总产值58.97亿元，增长18.8%；工业企业营业收入58.47亿元，增长6.6%。盈亏相抵后的利润总额3.4亿元，下降3.9%。实现利税3.99亿元，下降3.4%。资产负债率65.1%，下降1.4个百分点。</w:t>
      </w:r>
    </w:p>
    <w:p w14:paraId="5849EDC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2023年，农作物总播种面积49.1万亩，增长3.6%。全年粮食总产量10.47万吨，增长2.42%。全年肉类总产量2.12万吨，下降0.3%。全年水产品产量0.67万吨，增长3.86%。</w:t>
      </w:r>
    </w:p>
    <w:p w14:paraId="57668B6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鼓励和支持通用航空发展，2010年11月，国务院、中央军委联合印发《关于深化我国低空空域管理改革的意见》，公布了低空空域深化改革的目标和具体实施时间表，到2020年，将全面开放低空空域。2011年5月，中国民用航空局发布《中国民航第十二个五年发展规划纲要》，提出加快通用航空事业发展，重点改善通用航空发展环境等目标。2012年7月，《国务院关于促进民航业发展的若干意见》（国发[2012]24号）出台，提出要大力发展通用航空、巩固传统业务、积极发展新兴消费类通用航空服务，加快把通用航空培育成新的经济增长点等目标。国务院已将通用航空确定为具有长期发展前景的6个成长性带动产业之一，在国家经济社会建设中具有不可替代的作用。2013年11月，中国人民解放军总参谋部、中国民用航空局联合发布《通用航空飞行任务审批与管理规定》，规定指出除九类涉及国家安全情况外，其余通用航空飞行任务不需要办理任务申请和审批手续，仅需在飞行实施前，按照国家飞行管制规定提出飞行计划申请。2014年国务院颁布《政府核准的投资项目目录（2014年本）》共取消、下放38项核准权限，其中，将新建通用机场项目的审批权下放到省级政府核准；建设通用机场只需要地方许可，审批权限则落到各省（自治区、直辖市）发改委。随着国家政策支持力度不断增强，通用航空开放程度逐步扩大，加之审批权下放以及运营措施、基础设施建设等方面的改善，我国的通用航空迎来了前所未有的发展期。2016年5月17日，国务院办公厅印发《关于促进通用航空发展的若干指导意见》，突出通用航空问题导向，提出培育通用航空市场、加快通用机场建设、促进产业转型升级、扩大低空开放、强化全程安全监督等五个方面作为重点任务进行攻关。</w:t>
      </w:r>
    </w:p>
    <w:p w14:paraId="13C46EB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2018年9月4日，国家发改委和民航局联合印发《关于促进通用机场有序发展的意见》，为科学有序推进通用机场规划建设，促进通用航空业持续健康发展，推动通用航空“热起来”、“飞起来”，从正确认识加快通用机场建设的重要性、科学编制通用机场布局规划、有序推进通用机场建设、规范通用机场升级转换机制等四个方面提出指导意见。</w:t>
      </w:r>
    </w:p>
    <w:p w14:paraId="404304A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为贯彻落实《国务院办公厅关于促进通用航空业发展的指导意见》（国办发〔2016〕38号）精神，合理布局通用机场，加快完善四川省综合交通运输体系、推进产业转型升级和旅游业发展，以及提升应急救援、生态保护等服务水平，根据国家通用航空发展政策、法规和《四川省国民经济和社会发展第十三个五年规划纲要》《四川省人民政府办公厅关于印发五大经济区“十三五”发展规划的通知》《四川省省域城镇体系规划（2014—2030年）》《四川省航空与燃机产业发展总体规划（2015—2020年）》等要求，结合四川省通用航空发展实际，制定《四川省通用机场布局规划（2016—2030年）》。本规划是指导四川省“十三五”及中长期通用机场建设的重要依据。</w:t>
      </w:r>
    </w:p>
    <w:p w14:paraId="670E4B2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本规划中明确：二类及以上通用机场，至2030年，布局规划新增二类及以上通用机场85个，总数达88个。根据全省五大经济区发展定位、经济社会、资源禀赋、产业基础等，分别构建五大通用机场群。</w:t>
      </w:r>
    </w:p>
    <w:p w14:paraId="745931A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color w:val="auto"/>
          <w:kern w:val="0"/>
          <w:sz w:val="32"/>
          <w:szCs w:val="32"/>
          <w:lang w:val="en-US" w:eastAsia="zh-CN" w:bidi="ar"/>
        </w:rPr>
      </w:pPr>
      <w:r>
        <w:rPr>
          <w:rFonts w:hint="eastAsia" w:ascii="仿宋" w:hAnsi="仿宋" w:eastAsia="仿宋" w:cs="仿宋"/>
          <w:color w:val="auto"/>
          <w:kern w:val="0"/>
          <w:sz w:val="32"/>
          <w:szCs w:val="32"/>
          <w:lang w:val="en-US" w:eastAsia="zh-CN" w:bidi="ar"/>
        </w:rPr>
        <w:t>《洪雅县“十四五”综合交通运输发展规划》中明确指出，加快完成云山瓦屋通用机场地拆迁等前期工作，力争“十四五”期建成，实现民航“零突破”。机场近期规划用于旅游休闲、农林作业、抢险救灾等，远期将逐步开展租赁托管、飞行培训及配套综合服务，与周边机场联合形成通用机场联合服务网络，实现“飞机飞成渝”。</w:t>
      </w:r>
    </w:p>
    <w:p w14:paraId="7B3C6D0A">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lang w:val="en-US"/>
        </w:rPr>
      </w:pPr>
      <w:r>
        <w:rPr>
          <w:rFonts w:hint="eastAsia" w:ascii="仿宋" w:hAnsi="仿宋" w:eastAsia="仿宋"/>
          <w:b/>
          <w:bCs/>
          <w:color w:val="auto"/>
          <w:sz w:val="32"/>
          <w:szCs w:val="32"/>
          <w:lang w:val="en-US"/>
        </w:rPr>
        <w:t>（二）项目情况</w:t>
      </w:r>
      <w:bookmarkEnd w:id="6"/>
      <w:bookmarkEnd w:id="7"/>
    </w:p>
    <w:p w14:paraId="3935F7BD">
      <w:pPr>
        <w:keepNext w:val="0"/>
        <w:keepLines w:val="0"/>
        <w:pageBreakBefore w:val="0"/>
        <w:widowControl w:val="0"/>
        <w:kinsoku/>
        <w:wordWrap/>
        <w:overflowPunct/>
        <w:topLinePunct w:val="0"/>
        <w:autoSpaceDE/>
        <w:autoSpaceDN/>
        <w:bidi w:val="0"/>
        <w:adjustRightInd/>
        <w:snapToGrid w:val="0"/>
        <w:spacing w:beforeAutospacing="0" w:line="360" w:lineRule="auto"/>
        <w:ind w:left="0" w:leftChars="0" w:right="0" w:rightChars="0" w:firstLine="643" w:firstLineChars="200"/>
        <w:textAlignment w:val="auto"/>
        <w:rPr>
          <w:rFonts w:hint="eastAsia" w:ascii="仿宋" w:hAnsi="仿宋" w:eastAsia="仿宋" w:cs="仿宋"/>
          <w:b/>
          <w:bCs/>
          <w:sz w:val="32"/>
          <w:szCs w:val="32"/>
        </w:rPr>
      </w:pPr>
      <w:bookmarkStart w:id="8" w:name="_Toc533440320"/>
      <w:bookmarkStart w:id="9" w:name="_Toc522211063"/>
      <w:bookmarkStart w:id="10" w:name="_Toc476"/>
      <w:bookmarkStart w:id="11" w:name="_Toc30423"/>
      <w:bookmarkStart w:id="12" w:name="_Toc523481532"/>
      <w:bookmarkStart w:id="13" w:name="_Toc1720129"/>
      <w:r>
        <w:rPr>
          <w:rFonts w:hint="eastAsia" w:ascii="仿宋" w:hAnsi="仿宋" w:eastAsia="仿宋" w:cs="仿宋"/>
          <w:b/>
          <w:bCs/>
          <w:sz w:val="32"/>
          <w:szCs w:val="32"/>
        </w:rPr>
        <w:t>1.参与主体</w:t>
      </w:r>
      <w:bookmarkEnd w:id="8"/>
      <w:bookmarkEnd w:id="9"/>
      <w:bookmarkEnd w:id="10"/>
      <w:bookmarkEnd w:id="11"/>
      <w:bookmarkEnd w:id="12"/>
      <w:bookmarkEnd w:id="13"/>
    </w:p>
    <w:p w14:paraId="64A29E5D">
      <w:pPr>
        <w:keepNext w:val="0"/>
        <w:keepLines w:val="0"/>
        <w:pageBreakBefore w:val="0"/>
        <w:widowControl w:val="0"/>
        <w:kinsoku/>
        <w:wordWrap/>
        <w:overflowPunct/>
        <w:topLinePunct w:val="0"/>
        <w:autoSpaceDE/>
        <w:autoSpaceDN/>
        <w:bidi w:val="0"/>
        <w:adjustRightInd/>
        <w:snapToGrid w:val="0"/>
        <w:spacing w:line="360" w:lineRule="auto"/>
        <w:ind w:firstLine="643" w:firstLineChars="200"/>
        <w:textAlignment w:val="auto"/>
        <w:rPr>
          <w:rFonts w:hint="eastAsia" w:ascii="仿宋" w:hAnsi="仿宋" w:eastAsia="仿宋"/>
          <w:color w:val="auto"/>
          <w:sz w:val="32"/>
          <w:szCs w:val="32"/>
          <w:lang w:val="en-US" w:eastAsia="zh-CN"/>
        </w:rPr>
      </w:pPr>
      <w:r>
        <w:rPr>
          <w:rFonts w:hint="eastAsia" w:ascii="仿宋" w:hAnsi="仿宋" w:eastAsia="仿宋"/>
          <w:b/>
          <w:color w:val="auto"/>
          <w:sz w:val="32"/>
          <w:szCs w:val="32"/>
        </w:rPr>
        <w:t>实施机构:</w:t>
      </w:r>
      <w:r>
        <w:rPr>
          <w:rFonts w:hint="eastAsia" w:ascii="仿宋" w:hAnsi="仿宋" w:eastAsia="仿宋"/>
          <w:color w:val="auto"/>
          <w:sz w:val="32"/>
          <w:szCs w:val="32"/>
          <w:lang w:val="en-US" w:eastAsia="zh-CN"/>
        </w:rPr>
        <w:t>洪雅县发展和改革局</w:t>
      </w:r>
    </w:p>
    <w:p w14:paraId="46424AF9">
      <w:pPr>
        <w:keepNext w:val="0"/>
        <w:keepLines w:val="0"/>
        <w:pageBreakBefore w:val="0"/>
        <w:widowControl w:val="0"/>
        <w:kinsoku/>
        <w:wordWrap/>
        <w:overflowPunct/>
        <w:topLinePunct w:val="0"/>
        <w:autoSpaceDE/>
        <w:autoSpaceDN/>
        <w:bidi w:val="0"/>
        <w:adjustRightInd/>
        <w:snapToGrid w:val="0"/>
        <w:spacing w:line="360" w:lineRule="auto"/>
        <w:ind w:firstLine="643" w:firstLineChars="200"/>
        <w:textAlignment w:val="auto"/>
        <w:rPr>
          <w:rFonts w:hint="eastAsia" w:ascii="仿宋" w:hAnsi="仿宋" w:eastAsia="仿宋"/>
          <w:color w:val="auto"/>
          <w:sz w:val="32"/>
          <w:szCs w:val="32"/>
          <w:lang w:val="en-US" w:eastAsia="zh-CN"/>
        </w:rPr>
      </w:pPr>
      <w:r>
        <w:rPr>
          <w:rFonts w:hint="eastAsia" w:ascii="仿宋" w:hAnsi="仿宋" w:eastAsia="仿宋"/>
          <w:b/>
          <w:color w:val="auto"/>
          <w:sz w:val="32"/>
          <w:szCs w:val="32"/>
        </w:rPr>
        <w:t>项目业主</w:t>
      </w:r>
      <w:r>
        <w:rPr>
          <w:rFonts w:hint="eastAsia" w:ascii="仿宋" w:hAnsi="仿宋" w:eastAsia="仿宋"/>
          <w:color w:val="auto"/>
          <w:sz w:val="32"/>
          <w:szCs w:val="32"/>
        </w:rPr>
        <w:t>：</w:t>
      </w:r>
      <w:r>
        <w:rPr>
          <w:rFonts w:hint="eastAsia" w:ascii="仿宋" w:hAnsi="仿宋" w:eastAsia="仿宋"/>
          <w:color w:val="auto"/>
          <w:sz w:val="32"/>
          <w:szCs w:val="32"/>
          <w:lang w:val="en-US" w:eastAsia="zh-CN"/>
        </w:rPr>
        <w:t>四川洪雅云上瓦屋通用机场有限公司</w:t>
      </w:r>
    </w:p>
    <w:p w14:paraId="427C533C">
      <w:pPr>
        <w:keepNext w:val="0"/>
        <w:keepLines w:val="0"/>
        <w:pageBreakBefore w:val="0"/>
        <w:widowControl w:val="0"/>
        <w:kinsoku/>
        <w:wordWrap/>
        <w:overflowPunct/>
        <w:topLinePunct w:val="0"/>
        <w:autoSpaceDE/>
        <w:autoSpaceDN/>
        <w:bidi w:val="0"/>
        <w:adjustRightInd/>
        <w:snapToGrid w:val="0"/>
        <w:spacing w:beforeAutospacing="0" w:line="360" w:lineRule="auto"/>
        <w:ind w:left="0" w:leftChars="0" w:right="0" w:rightChars="0" w:firstLine="643" w:firstLineChars="200"/>
        <w:textAlignment w:val="auto"/>
        <w:rPr>
          <w:rFonts w:hint="eastAsia" w:ascii="仿宋" w:hAnsi="仿宋" w:eastAsia="仿宋" w:cs="仿宋"/>
          <w:b/>
          <w:bCs/>
          <w:sz w:val="32"/>
          <w:szCs w:val="32"/>
          <w:lang w:val="en-US" w:eastAsia="zh-CN"/>
        </w:rPr>
      </w:pPr>
      <w:bookmarkStart w:id="14" w:name="_Toc22662"/>
      <w:bookmarkStart w:id="15" w:name="_Toc533440321"/>
      <w:bookmarkStart w:id="16" w:name="_Toc523481533"/>
      <w:bookmarkStart w:id="17" w:name="_Toc1720130"/>
      <w:bookmarkStart w:id="18" w:name="_Toc12405"/>
      <w:bookmarkStart w:id="19" w:name="_Toc522211064"/>
      <w:r>
        <w:rPr>
          <w:rFonts w:hint="eastAsia" w:ascii="仿宋" w:hAnsi="仿宋" w:eastAsia="仿宋" w:cs="仿宋"/>
          <w:b/>
          <w:bCs/>
          <w:sz w:val="32"/>
          <w:szCs w:val="32"/>
        </w:rPr>
        <w:t>2.项目概况</w:t>
      </w:r>
      <w:bookmarkEnd w:id="14"/>
      <w:bookmarkEnd w:id="15"/>
      <w:bookmarkEnd w:id="16"/>
      <w:bookmarkEnd w:id="17"/>
      <w:bookmarkEnd w:id="18"/>
      <w:bookmarkEnd w:id="19"/>
    </w:p>
    <w:p w14:paraId="12C06ABB">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rPr>
        <w:t>项目名称：</w:t>
      </w:r>
      <w:r>
        <w:rPr>
          <w:rFonts w:hint="eastAsia" w:ascii="仿宋" w:hAnsi="仿宋" w:eastAsia="仿宋"/>
          <w:color w:val="auto"/>
          <w:sz w:val="32"/>
          <w:szCs w:val="32"/>
          <w:lang w:val="en-US" w:eastAsia="zh-CN"/>
        </w:rPr>
        <w:t>眉山洪雅通用机场项目</w:t>
      </w:r>
    </w:p>
    <w:p w14:paraId="21D26749">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项目所属领域：交通基础设施-民用机场（含新建通用机场）</w:t>
      </w:r>
    </w:p>
    <w:p w14:paraId="6A826B34">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建设期：24个月</w:t>
      </w:r>
    </w:p>
    <w:p w14:paraId="7A00AF89">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项目建设地址：眉山市洪雅县中保镇</w:t>
      </w:r>
    </w:p>
    <w:p w14:paraId="0D28FDBD">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lang w:val="en-US" w:eastAsia="zh-CN"/>
        </w:rPr>
        <w:t>项目说明：本项目为新建工程，资产无抵押或质押情况</w:t>
      </w:r>
    </w:p>
    <w:p w14:paraId="64C8AE82">
      <w:pPr>
        <w:pStyle w:val="11"/>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Cs/>
          <w:color w:val="auto"/>
          <w:kern w:val="2"/>
          <w:sz w:val="32"/>
          <w:szCs w:val="32"/>
          <w:lang w:val="en-US" w:eastAsia="zh-CN"/>
        </w:rPr>
        <w:t>建设内容与规模：</w:t>
      </w:r>
      <w:r>
        <w:rPr>
          <w:rFonts w:hint="eastAsia" w:ascii="仿宋" w:hAnsi="仿宋" w:eastAsia="仿宋" w:cs="仿宋"/>
          <w:color w:val="auto"/>
          <w:sz w:val="32"/>
          <w:szCs w:val="32"/>
          <w:lang w:val="en-US" w:eastAsia="zh-CN"/>
        </w:rPr>
        <w:t>本项目新建A1级通用机场，飞行区指标为2B，建设1条长1200米、宽30米的跑道，1条垂直联络道，6个机位的停机坪，3200平方米的机库，2000平方米的综合业务楼，以及空管、助航灯光、消防救援等配套设施。</w:t>
      </w:r>
    </w:p>
    <w:p w14:paraId="66BF2B5E">
      <w:pPr>
        <w:pStyle w:val="11"/>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机场性质：A1级通用机场。</w:t>
      </w:r>
    </w:p>
    <w:p w14:paraId="1C59595D">
      <w:pPr>
        <w:pStyle w:val="11"/>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640" w:firstLineChars="200"/>
        <w:jc w:val="both"/>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机场作用：空中游览、旅游休闲、农林作业、应急救援，同时根据需要开展医疗救护、抢险救灾等通航飞行服务。</w:t>
      </w:r>
    </w:p>
    <w:p w14:paraId="7136527E">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rPr>
      </w:pPr>
      <w:bookmarkStart w:id="20" w:name="_Toc533440322"/>
      <w:bookmarkStart w:id="21" w:name="_Toc1720132"/>
      <w:bookmarkStart w:id="22" w:name="_Toc523481534"/>
      <w:bookmarkStart w:id="23" w:name="_Toc522211065"/>
      <w:bookmarkStart w:id="24" w:name="_Toc1403"/>
      <w:bookmarkStart w:id="25" w:name="_Toc17794"/>
      <w:bookmarkStart w:id="26" w:name="_Toc1720133"/>
      <w:bookmarkStart w:id="27" w:name="_Toc523481535"/>
      <w:bookmarkStart w:id="28" w:name="_Toc522211066"/>
      <w:bookmarkStart w:id="29" w:name="_Toc533440323"/>
      <w:r>
        <w:rPr>
          <w:rFonts w:hint="eastAsia" w:ascii="仿宋" w:hAnsi="仿宋" w:eastAsia="仿宋"/>
          <w:b/>
          <w:bCs/>
          <w:color w:val="auto"/>
          <w:sz w:val="32"/>
          <w:szCs w:val="32"/>
        </w:rPr>
        <w:t>二、经济社会效益分析</w:t>
      </w:r>
      <w:bookmarkEnd w:id="20"/>
      <w:bookmarkEnd w:id="21"/>
      <w:bookmarkEnd w:id="22"/>
      <w:bookmarkEnd w:id="23"/>
      <w:bookmarkEnd w:id="24"/>
    </w:p>
    <w:p w14:paraId="48E6D54E">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lang w:val="en-US"/>
        </w:rPr>
      </w:pPr>
      <w:r>
        <w:rPr>
          <w:rFonts w:hint="eastAsia" w:ascii="仿宋" w:hAnsi="仿宋" w:eastAsia="仿宋"/>
          <w:b/>
          <w:bCs/>
          <w:color w:val="auto"/>
          <w:sz w:val="32"/>
          <w:szCs w:val="32"/>
          <w:lang w:val="en-US"/>
        </w:rPr>
        <w:t>（一）经济效益分析</w:t>
      </w:r>
      <w:bookmarkEnd w:id="25"/>
      <w:bookmarkEnd w:id="26"/>
      <w:bookmarkEnd w:id="27"/>
      <w:bookmarkEnd w:id="28"/>
      <w:bookmarkEnd w:id="29"/>
    </w:p>
    <w:p w14:paraId="0A0F082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9"/>
        <w:rPr>
          <w:rFonts w:hint="eastAsia" w:ascii="仿宋" w:hAnsi="仿宋" w:eastAsia="仿宋" w:cs="仿宋"/>
          <w:color w:val="auto"/>
          <w:sz w:val="32"/>
          <w:szCs w:val="32"/>
          <w:lang w:val="en-US" w:eastAsia="zh-CN"/>
        </w:rPr>
      </w:pPr>
      <w:bookmarkStart w:id="30" w:name="_Toc533440326"/>
      <w:bookmarkStart w:id="31" w:name="_Toc523157055"/>
      <w:bookmarkStart w:id="32" w:name="_Toc523481538"/>
      <w:bookmarkStart w:id="33" w:name="_Toc23271"/>
      <w:bookmarkStart w:id="34" w:name="_Toc1720136"/>
      <w:r>
        <w:rPr>
          <w:rFonts w:hint="eastAsia" w:ascii="仿宋" w:hAnsi="仿宋" w:eastAsia="仿宋" w:cs="仿宋"/>
          <w:color w:val="auto"/>
          <w:sz w:val="32"/>
          <w:szCs w:val="32"/>
          <w:lang w:val="en-US" w:eastAsia="zh-CN"/>
        </w:rPr>
        <w:t>航空运输对旅游业的发展至关重要，2014年8月，《国务院关于促进旅游业改革发展的若干意见》（国发[2014]31号）提出要积极发展低空飞行旅游。随着低空旅游业的放开，以及近年来航拍、测绘等领域对通用航空活动的需求量越来越大，使得通用机场存在未来快速增长的需求。目前，世界上多家通用航空公司正在开展空中游览和航空旅游业务，发展势头良好。通过通航飞行，在特定地域上进行观光游览，将会给旅行体验者带来更加前所未有的震撼感受。</w:t>
      </w:r>
    </w:p>
    <w:p w14:paraId="00FFD20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从资源类型上看，洪雅县的旅游资源以自然资源为主，洪雅县普查的旅游资源单体在全国8主类、31亚类、155种基本类型的旅游资源中，占了8个主类、19个亚类、33种基本类型。洪雅县内的人文景观有邓通铸钱遗址、月珠寺、光相寺、太清宫、蜀王殿、观音庙、金舟寺、五斗观、高庙白酒古作坊、苟王寨等遗址遗迹。拥有如此众多的旅游资源，如何将其完整开发，是目前亟待解决的问题，而通用机场的建设，则是解决问题的关键一步。</w:t>
      </w:r>
    </w:p>
    <w:p w14:paraId="00BA45E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修建通用机场，开通空中航线，既适应现代旅游注重时效的特点，又具有投资省、见效快、受地面影响程度小的优势，因而对加快当地旅游业发展具有强大的推动力。同时，洪雅县具有连绵的山脉和广阔的林地，通过修建通用机场，建立以生态农业游、航空主题游、风情小镇游、高端养生游、户外运动游五大功能为核心的旅游度假基地，进一步带动周边旅游业的发展。拓展通航项目可以促进洪雅县扩大旅游外延，丰富文化内涵，更加完善洪雅西南国际化城市的功能。</w:t>
      </w:r>
    </w:p>
    <w:p w14:paraId="6BF6B6A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中国通用航空市场的需求将随着经济发展而日益强劲，各类通用航空的参与方式和投资机会将源源不断地呈现在投资者面前，中国这一开放中的市场必将成为全世界通用航空业者最丰厚的市场。通用航空发展空间巨大，将成为拉动国民经济发展的新的经济增长点，能开辟出广阔的投资领域和巨大的消费市场，同时可增加许多新的就业机会。</w:t>
      </w:r>
    </w:p>
    <w:p w14:paraId="59F8456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航空交通是现代文明的重要体现，是现代生活不可缺少的重要交通工具。洪雅通用机场的建设，将促进以洪雅县城为中心，以交通要道和产业园区为重点，加快城镇建设，发挥城镇带动辐射和连接城乡的枢纽作用；有利于洪雅县抢抓通用航空快速发展的历史机遇，在国内通航领域中占据重要的市场地位，为省区产业结构升级、经济社会发展提供强有力的推动。</w:t>
      </w:r>
    </w:p>
    <w:p w14:paraId="4CB9361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发展通用航空业有利于拉动地方经济，实现产业结构升级。通用航空产业链条长、带动性强，直接涉及投资、生产、流通和消费各个环节，涉及制造、维修、营销、服务等多种领域。国际经验表明，通用航空产业投入产出比为1:10，就业带动比为1:12，远高于汽车等传统装备制造业，具有极强的带动效应。随着通用航空向各个领域的渗透，通航产业正逐步成为带动旅游、农业等传统产业升级和经济发展方式转变的重要力量。</w:t>
      </w:r>
    </w:p>
    <w:p w14:paraId="4816221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2022年10月，洪雅县人民政府与沃飞长空科技（成都）有限公司签订了《成都沃飞长空（眉山）飞行汽车交付中心项目战略合作协议》，在洪雅通用机场项目的基础上，共同打造功能完备、集约集群的智能无人驾驶载人飞行器产业链，推动航空工业与地方经济深度融合发展。沃飞长空拟投资建设“完工交付中心”项目。该项目将逐步开展飞行汽车科研测试、培训、商业运行、售后维修、航材销售等业务。有效带动当地航空产业（如航空电子、座舱设施、机械复材加工、软件开发、配套航材、培训教育等）配套集聚，为眉山地区经济社会发展带来新的绿色发展引擎，并充分带动劳动力就业。</w:t>
      </w:r>
    </w:p>
    <w:p w14:paraId="1CB5539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洪雅通用机场建成后，将成为洪雅县发展航空产业的依托和，加快产业转型升级，从而有效带动当地的经济发展，对促进当地区域经济协调发展，改变贫穷落后面貌，增进民族团结，保持社会政治稳定具有重要意义。</w:t>
      </w:r>
    </w:p>
    <w:p w14:paraId="6AD8E0E2">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rPr>
      </w:pPr>
      <w:r>
        <w:rPr>
          <w:rFonts w:hint="eastAsia" w:ascii="仿宋" w:hAnsi="仿宋" w:eastAsia="仿宋"/>
          <w:b/>
          <w:bCs/>
          <w:color w:val="auto"/>
          <w:sz w:val="32"/>
          <w:szCs w:val="32"/>
          <w:lang w:val="en-US" w:eastAsia="zh-CN"/>
        </w:rPr>
        <w:t>（二）</w:t>
      </w:r>
      <w:r>
        <w:rPr>
          <w:rFonts w:hint="eastAsia" w:ascii="仿宋" w:hAnsi="仿宋" w:eastAsia="仿宋"/>
          <w:b/>
          <w:bCs/>
          <w:color w:val="auto"/>
          <w:sz w:val="32"/>
          <w:szCs w:val="32"/>
        </w:rPr>
        <w:t>社会效益分析</w:t>
      </w:r>
      <w:bookmarkEnd w:id="30"/>
      <w:bookmarkEnd w:id="31"/>
      <w:bookmarkEnd w:id="32"/>
      <w:bookmarkEnd w:id="33"/>
      <w:bookmarkEnd w:id="34"/>
    </w:p>
    <w:p w14:paraId="190F1DA0">
      <w:pPr>
        <w:pStyle w:val="4"/>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洪雅县对外交通以乐雅高速、遂资眉高速、省道106线、县城至瓦屋山公路为骨架，县道峨(眉)洪(雅)路、雅(安)柳(江)路为干线,乡村道、专用道为支线的公路网络已初步形成。另外，规划中的渝自乐雅铁路从县域北部通过，县域地面交通相对比较完善，但是，打造完整的综合交通运输体系，航空运输是必不可少的一环，尤其在四川这种山地较多的区域，空中交通有着不可取代的优势。</w:t>
      </w:r>
    </w:p>
    <w:p w14:paraId="6BCB0575">
      <w:pPr>
        <w:pStyle w:val="4"/>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通用机场在应急救援和抢险救灾中拥有其他运输方式不可替代的地位，在抗灾救援以及处置突发事件的各项措施中，航空救援具有快速、高效、受地理空间限制较少的优势。</w:t>
      </w:r>
    </w:p>
    <w:p w14:paraId="4F18E13E">
      <w:pPr>
        <w:pStyle w:val="4"/>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另外，通用航空具有机动灵活，快捷高效、环境适应能力较强等特点，在洪雅县建设通用机场可以直接为农、林、牧、渔、建筑、交通、能源等国民经济建设基础行业提供服务，还可以为环境保护与综合治理、科学研究等社会公共服务领域提供有力保障，从而大大提高城市的功能保障能力。</w:t>
      </w:r>
    </w:p>
    <w:p w14:paraId="78D4A2F9">
      <w:pPr>
        <w:pStyle w:val="4"/>
        <w:keepNext w:val="0"/>
        <w:keepLines w:val="0"/>
        <w:pageBreakBefore w:val="0"/>
        <w:widowControl w:val="0"/>
        <w:kinsoku/>
        <w:wordWrap/>
        <w:overflowPunct/>
        <w:topLinePunct w:val="0"/>
        <w:autoSpaceDE/>
        <w:autoSpaceDN/>
        <w:bidi w:val="0"/>
        <w:adjustRightInd/>
        <w:snapToGrid/>
        <w:spacing w:before="0" w:beforeAutospacing="0" w:after="0" w:line="360" w:lineRule="auto"/>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color w:val="auto"/>
          <w:sz w:val="32"/>
          <w:szCs w:val="32"/>
          <w:lang w:val="en-US" w:eastAsia="zh-CN"/>
        </w:rPr>
        <w:t>我国应急救援体系中通用机场的数量、质量跟国外先进国家都差距较大，需要建设更多的通用机场等基础设施，完善应急救援体系的不足，提高应急救援体系的反应能力</w:t>
      </w:r>
      <w:r>
        <w:rPr>
          <w:rFonts w:hint="eastAsia" w:ascii="仿宋" w:hAnsi="仿宋" w:eastAsia="仿宋" w:cs="仿宋"/>
          <w:kern w:val="2"/>
          <w:sz w:val="32"/>
          <w:szCs w:val="32"/>
          <w:lang w:val="en-US" w:eastAsia="zh-CN" w:bidi="ar-SA"/>
        </w:rPr>
        <w:t>。</w:t>
      </w:r>
    </w:p>
    <w:p w14:paraId="7FBD934C">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rPr>
      </w:pPr>
      <w:r>
        <w:rPr>
          <w:rFonts w:hint="eastAsia" w:ascii="仿宋" w:hAnsi="仿宋" w:eastAsia="仿宋"/>
          <w:b/>
          <w:bCs/>
          <w:color w:val="auto"/>
          <w:sz w:val="32"/>
          <w:szCs w:val="32"/>
          <w:lang w:eastAsia="zh-CN"/>
        </w:rPr>
        <w:t>三、</w:t>
      </w:r>
      <w:r>
        <w:rPr>
          <w:rFonts w:hint="eastAsia" w:ascii="仿宋" w:hAnsi="仿宋" w:eastAsia="仿宋"/>
          <w:b/>
          <w:bCs/>
          <w:color w:val="auto"/>
          <w:sz w:val="32"/>
          <w:szCs w:val="32"/>
        </w:rPr>
        <w:t>项目投资估算与资金筹措方案</w:t>
      </w:r>
    </w:p>
    <w:p w14:paraId="30F20247">
      <w:pPr>
        <w:pStyle w:val="12"/>
        <w:keepNext w:val="0"/>
        <w:keepLines w:val="0"/>
        <w:pageBreakBefore w:val="0"/>
        <w:widowControl w:val="0"/>
        <w:numPr>
          <w:ilvl w:val="0"/>
          <w:numId w:val="0"/>
        </w:numPr>
        <w:kinsoku/>
        <w:wordWrap/>
        <w:overflowPunct/>
        <w:topLinePunct w:val="0"/>
        <w:autoSpaceDE/>
        <w:autoSpaceDN/>
        <w:bidi w:val="0"/>
        <w:adjustRightInd/>
        <w:snapToGrid/>
        <w:ind w:leftChars="0" w:firstLine="643" w:firstLineChars="200"/>
        <w:textAlignment w:val="auto"/>
        <w:rPr>
          <w:rFonts w:hint="eastAsia" w:ascii="仿宋" w:hAnsi="仿宋" w:eastAsia="仿宋" w:cs="Times New Roman"/>
          <w:b/>
          <w:bCs/>
          <w:color w:val="auto"/>
          <w:kern w:val="2"/>
          <w:sz w:val="32"/>
          <w:szCs w:val="32"/>
          <w:lang w:val="en-US" w:eastAsia="zh-CN" w:bidi="ar-SA"/>
        </w:rPr>
      </w:pPr>
      <w:r>
        <w:rPr>
          <w:rFonts w:hint="eastAsia" w:ascii="仿宋" w:hAnsi="仿宋" w:eastAsia="仿宋" w:cs="Times New Roman"/>
          <w:b/>
          <w:bCs/>
          <w:color w:val="auto"/>
          <w:kern w:val="2"/>
          <w:sz w:val="32"/>
          <w:szCs w:val="32"/>
          <w:lang w:val="en-US" w:eastAsia="zh-CN" w:bidi="ar-SA"/>
        </w:rPr>
        <w:t>（一）投资估算</w:t>
      </w:r>
    </w:p>
    <w:p w14:paraId="66A962C4">
      <w:pPr>
        <w:pStyle w:val="12"/>
        <w:keepNext w:val="0"/>
        <w:keepLines w:val="0"/>
        <w:pageBreakBefore w:val="0"/>
        <w:widowControl w:val="0"/>
        <w:numPr>
          <w:ilvl w:val="0"/>
          <w:numId w:val="0"/>
        </w:numPr>
        <w:kinsoku/>
        <w:wordWrap/>
        <w:overflowPunct/>
        <w:topLinePunct w:val="0"/>
        <w:autoSpaceDE/>
        <w:autoSpaceDN/>
        <w:bidi w:val="0"/>
        <w:adjustRightInd/>
        <w:snapToGrid/>
        <w:spacing w:after="0"/>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本项目建设动态投资总额为</w:t>
      </w:r>
      <w:r>
        <w:rPr>
          <w:rFonts w:hint="eastAsia" w:ascii="仿宋" w:hAnsi="仿宋" w:eastAsia="仿宋" w:cs="仿宋"/>
          <w:color w:val="auto"/>
          <w:sz w:val="32"/>
          <w:szCs w:val="32"/>
          <w:lang w:val="en-US" w:eastAsia="zh-CN"/>
        </w:rPr>
        <w:t>28310.00万元。其中工程费用13246.95万元，工程建设其他费用13178.53万元，基本预备费928.79万元，建设期利息及发行费955.73万元</w:t>
      </w:r>
      <w:r>
        <w:rPr>
          <w:rFonts w:hint="eastAsia" w:ascii="仿宋" w:hAnsi="仿宋" w:eastAsia="仿宋" w:cs="仿宋"/>
          <w:color w:val="auto"/>
          <w:sz w:val="32"/>
          <w:szCs w:val="32"/>
        </w:rPr>
        <w:t>。</w:t>
      </w:r>
    </w:p>
    <w:p w14:paraId="4F62543E">
      <w:pPr>
        <w:pStyle w:val="12"/>
        <w:keepNext w:val="0"/>
        <w:keepLines w:val="0"/>
        <w:pageBreakBefore w:val="0"/>
        <w:widowControl w:val="0"/>
        <w:numPr>
          <w:ilvl w:val="0"/>
          <w:numId w:val="0"/>
        </w:numPr>
        <w:kinsoku/>
        <w:wordWrap/>
        <w:overflowPunct/>
        <w:topLinePunct w:val="0"/>
        <w:autoSpaceDE/>
        <w:autoSpaceDN/>
        <w:bidi w:val="0"/>
        <w:adjustRightInd/>
        <w:snapToGrid/>
        <w:ind w:left="0" w:leftChars="0" w:firstLine="643" w:firstLineChars="200"/>
        <w:textAlignment w:val="auto"/>
        <w:rPr>
          <w:rFonts w:hint="eastAsia" w:ascii="仿宋" w:hAnsi="仿宋" w:eastAsia="仿宋" w:cs="Times New Roman"/>
          <w:b/>
          <w:bCs/>
          <w:color w:val="auto"/>
          <w:kern w:val="2"/>
          <w:sz w:val="32"/>
          <w:szCs w:val="32"/>
          <w:lang w:val="en-US" w:eastAsia="zh-CN" w:bidi="ar-SA"/>
        </w:rPr>
      </w:pPr>
      <w:r>
        <w:rPr>
          <w:rFonts w:hint="eastAsia" w:ascii="仿宋" w:hAnsi="仿宋" w:eastAsia="仿宋" w:cs="Times New Roman"/>
          <w:b/>
          <w:bCs/>
          <w:color w:val="auto"/>
          <w:kern w:val="2"/>
          <w:sz w:val="32"/>
          <w:szCs w:val="32"/>
          <w:lang w:val="en-US" w:eastAsia="zh-CN" w:bidi="ar-SA"/>
        </w:rPr>
        <w:t>(二)资金筹措方案</w:t>
      </w:r>
    </w:p>
    <w:p w14:paraId="33AFC7DA">
      <w:pPr>
        <w:keepNext w:val="0"/>
        <w:keepLines w:val="0"/>
        <w:pageBreakBefore w:val="0"/>
        <w:widowControl w:val="0"/>
        <w:kinsoku/>
        <w:wordWrap/>
        <w:overflowPunct/>
        <w:topLinePunct w:val="0"/>
        <w:autoSpaceDE/>
        <w:autoSpaceDN/>
        <w:bidi w:val="0"/>
        <w:adjustRightInd/>
        <w:snapToGrid w:val="0"/>
        <w:spacing w:beforeAutospacing="0" w:line="360" w:lineRule="auto"/>
        <w:ind w:left="0" w:leftChars="0" w:right="0" w:rightChars="0" w:firstLine="643" w:firstLineChars="200"/>
        <w:textAlignment w:val="auto"/>
        <w:rPr>
          <w:rFonts w:hint="eastAsia" w:ascii="仿宋" w:hAnsi="仿宋" w:eastAsia="仿宋" w:cs="仿宋"/>
          <w:b/>
          <w:bCs/>
          <w:sz w:val="32"/>
          <w:szCs w:val="32"/>
          <w:lang w:val="en-US" w:eastAsia="zh-CN"/>
        </w:rPr>
      </w:pPr>
      <w:bookmarkStart w:id="35" w:name="_Toc522211083"/>
      <w:bookmarkStart w:id="36" w:name="_Toc523481547"/>
      <w:bookmarkStart w:id="37" w:name="_Toc20821"/>
      <w:bookmarkStart w:id="38" w:name="_Toc1720150"/>
      <w:bookmarkStart w:id="39" w:name="_Toc523157067"/>
      <w:bookmarkStart w:id="40" w:name="_Toc19703"/>
      <w:bookmarkStart w:id="41" w:name="_Toc533440340"/>
      <w:r>
        <w:rPr>
          <w:rFonts w:hint="eastAsia" w:ascii="仿宋" w:hAnsi="仿宋" w:eastAsia="仿宋" w:cs="仿宋"/>
          <w:b/>
          <w:bCs/>
          <w:sz w:val="32"/>
          <w:szCs w:val="32"/>
          <w:lang w:val="en-US" w:eastAsia="zh-CN"/>
        </w:rPr>
        <w:t>1.资金来源</w:t>
      </w:r>
      <w:bookmarkEnd w:id="35"/>
      <w:bookmarkEnd w:id="36"/>
      <w:bookmarkEnd w:id="37"/>
      <w:bookmarkEnd w:id="38"/>
      <w:bookmarkEnd w:id="39"/>
      <w:bookmarkEnd w:id="40"/>
      <w:bookmarkEnd w:id="41"/>
    </w:p>
    <w:p w14:paraId="6323D76B">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color w:val="auto"/>
          <w:kern w:val="2"/>
          <w:sz w:val="32"/>
          <w:szCs w:val="32"/>
          <w:lang w:val="en-US"/>
        </w:rPr>
      </w:pPr>
      <w:bookmarkStart w:id="42" w:name="_Toc523157069"/>
      <w:bookmarkStart w:id="43" w:name="_Toc523481549"/>
      <w:bookmarkStart w:id="44" w:name="_Toc1720152"/>
      <w:bookmarkStart w:id="45" w:name="_Toc533440342"/>
      <w:bookmarkStart w:id="46" w:name="_Toc25776"/>
      <w:r>
        <w:rPr>
          <w:rFonts w:hint="eastAsia" w:ascii="仿宋" w:hAnsi="仿宋" w:eastAsia="仿宋" w:cs="仿宋"/>
          <w:color w:val="auto"/>
          <w:kern w:val="2"/>
          <w:sz w:val="32"/>
          <w:szCs w:val="32"/>
          <w:lang w:val="en-US"/>
        </w:rPr>
        <w:t>本项目资本金来源：资本金均来源于财政预算，项目资本金7106.00万元，占项目总投资的25.1%。</w:t>
      </w:r>
    </w:p>
    <w:p w14:paraId="085DC8C9">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color w:val="auto"/>
          <w:kern w:val="2"/>
          <w:sz w:val="32"/>
          <w:szCs w:val="32"/>
          <w:lang w:val="en-US" w:eastAsia="zh-CN"/>
        </w:rPr>
      </w:pPr>
      <w:r>
        <w:rPr>
          <w:rFonts w:hint="eastAsia" w:ascii="仿宋" w:hAnsi="仿宋" w:eastAsia="仿宋" w:cs="仿宋"/>
          <w:color w:val="auto"/>
          <w:kern w:val="2"/>
          <w:sz w:val="32"/>
          <w:szCs w:val="32"/>
          <w:lang w:val="en-US"/>
        </w:rPr>
        <w:t>融资来源：本项目拟发行专项债券总额21204.00万元，占总投资比例为74.9%，其中：2025年申请发行专项债券8000.00万元，2026年拟申请发行专项债券额度为13204.00万元</w:t>
      </w:r>
      <w:r>
        <w:rPr>
          <w:rFonts w:hint="eastAsia" w:ascii="仿宋" w:hAnsi="仿宋" w:eastAsia="仿宋" w:cs="仿宋"/>
          <w:color w:val="auto"/>
          <w:kern w:val="2"/>
          <w:sz w:val="32"/>
          <w:szCs w:val="32"/>
          <w:lang w:val="en-US" w:eastAsia="zh-CN"/>
        </w:rPr>
        <w:t>。</w:t>
      </w:r>
    </w:p>
    <w:p w14:paraId="0A9CB33C">
      <w:pPr>
        <w:keepNext w:val="0"/>
        <w:keepLines w:val="0"/>
        <w:pageBreakBefore w:val="0"/>
        <w:widowControl w:val="0"/>
        <w:kinsoku/>
        <w:wordWrap/>
        <w:overflowPunct/>
        <w:topLinePunct w:val="0"/>
        <w:autoSpaceDE/>
        <w:autoSpaceDN/>
        <w:bidi w:val="0"/>
        <w:adjustRightInd/>
        <w:snapToGrid w:val="0"/>
        <w:spacing w:beforeAutospacing="0" w:line="360" w:lineRule="auto"/>
        <w:ind w:left="0" w:leftChars="0" w:right="0" w:rightChars="0"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2.资金使用计划</w:t>
      </w:r>
      <w:bookmarkEnd w:id="42"/>
      <w:bookmarkEnd w:id="43"/>
      <w:bookmarkEnd w:id="44"/>
      <w:bookmarkEnd w:id="45"/>
      <w:bookmarkEnd w:id="46"/>
    </w:p>
    <w:p w14:paraId="5037D4D7">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b/>
          <w:bCs/>
          <w:color w:val="auto"/>
          <w:sz w:val="28"/>
          <w:szCs w:val="28"/>
        </w:rPr>
      </w:pPr>
      <w:r>
        <w:rPr>
          <w:rFonts w:hint="eastAsia" w:ascii="仿宋" w:hAnsi="仿宋" w:eastAsia="仿宋" w:cs="仿宋"/>
          <w:sz w:val="32"/>
          <w:szCs w:val="32"/>
        </w:rPr>
        <w:t>项目所筹资金将根据项目实施计划和实时建设进度来进行合理分配，且将全部投资于本项目，具体数额应当根据进度支出。在保证项目工程投资资金充足的情况下，充分利用且不浪费当年度专项债券融资额度。按照建设进度，总投资计划分</w:t>
      </w:r>
      <w:r>
        <w:rPr>
          <w:rFonts w:hint="eastAsia" w:ascii="仿宋" w:hAnsi="仿宋" w:eastAsia="仿宋" w:cs="仿宋"/>
          <w:sz w:val="32"/>
          <w:szCs w:val="32"/>
          <w:lang w:val="en-US" w:eastAsia="zh-CN"/>
        </w:rPr>
        <w:t>2</w:t>
      </w:r>
      <w:r>
        <w:rPr>
          <w:rFonts w:hint="eastAsia" w:ascii="仿宋" w:hAnsi="仿宋" w:eastAsia="仿宋" w:cs="仿宋"/>
          <w:sz w:val="32"/>
          <w:szCs w:val="32"/>
        </w:rPr>
        <w:t>个年度投入</w:t>
      </w:r>
      <w:r>
        <w:rPr>
          <w:rFonts w:hint="eastAsia" w:ascii="仿宋" w:hAnsi="仿宋" w:eastAsia="仿宋" w:cs="仿宋"/>
          <w:sz w:val="32"/>
          <w:szCs w:val="32"/>
          <w:lang w:eastAsia="zh-CN"/>
        </w:rPr>
        <w:t>。</w:t>
      </w:r>
    </w:p>
    <w:p w14:paraId="1FDF7769">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rPr>
      </w:pPr>
      <w:bookmarkStart w:id="47" w:name="_Toc11843"/>
      <w:bookmarkStart w:id="48" w:name="_Toc18388"/>
      <w:r>
        <w:rPr>
          <w:rFonts w:hint="eastAsia" w:ascii="仿宋" w:hAnsi="仿宋" w:eastAsia="仿宋"/>
          <w:b/>
          <w:bCs/>
          <w:color w:val="auto"/>
          <w:sz w:val="32"/>
          <w:szCs w:val="32"/>
        </w:rPr>
        <w:t>四、项目预期收益、成本及融资平衡情况</w:t>
      </w:r>
      <w:bookmarkEnd w:id="47"/>
      <w:bookmarkEnd w:id="48"/>
    </w:p>
    <w:p w14:paraId="0D2B7CBF">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lang w:val="en-US" w:eastAsia="zh-CN"/>
        </w:rPr>
      </w:pPr>
      <w:r>
        <w:rPr>
          <w:rFonts w:hint="eastAsia" w:ascii="仿宋" w:hAnsi="仿宋" w:eastAsia="仿宋"/>
          <w:b/>
          <w:bCs/>
          <w:color w:val="auto"/>
          <w:sz w:val="32"/>
          <w:szCs w:val="32"/>
          <w:lang w:val="en-US" w:eastAsia="zh-CN"/>
        </w:rPr>
        <w:t>（一）</w:t>
      </w:r>
      <w:r>
        <w:rPr>
          <w:rFonts w:hint="eastAsia" w:ascii="仿宋" w:hAnsi="仿宋" w:eastAsia="仿宋"/>
          <w:b/>
          <w:bCs/>
          <w:color w:val="auto"/>
          <w:sz w:val="32"/>
          <w:szCs w:val="32"/>
        </w:rPr>
        <w:t>预期收益</w:t>
      </w:r>
    </w:p>
    <w:p w14:paraId="49EE4C68">
      <w:pPr>
        <w:keepNext w:val="0"/>
        <w:keepLines w:val="0"/>
        <w:pageBreakBefore w:val="0"/>
        <w:widowControl w:val="0"/>
        <w:kinsoku/>
        <w:wordWrap/>
        <w:overflowPunct/>
        <w:topLinePunct w:val="0"/>
        <w:autoSpaceDE/>
        <w:autoSpaceDN/>
        <w:bidi w:val="0"/>
        <w:adjustRightInd/>
        <w:snapToGrid w:val="0"/>
        <w:spacing w:beforeAutospacing="0" w:line="360" w:lineRule="auto"/>
        <w:ind w:left="0" w:leftChars="0" w:right="0" w:rightChars="0"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1.项目收入</w:t>
      </w:r>
    </w:p>
    <w:p w14:paraId="0C16F5CD">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Times New Roman" w:eastAsia="仿宋_GB2312" w:cs="Times New Roman"/>
          <w:sz w:val="32"/>
          <w:szCs w:val="32"/>
          <w:lang w:val="en-GB" w:eastAsia="zh-CN"/>
        </w:rPr>
      </w:pPr>
      <w:r>
        <w:rPr>
          <w:rFonts w:hint="eastAsia" w:ascii="仿宋_GB2312" w:hAnsi="Times New Roman" w:eastAsia="仿宋_GB2312" w:cs="Times New Roman"/>
          <w:sz w:val="32"/>
          <w:szCs w:val="32"/>
          <w:lang w:val="en-GB" w:eastAsia="zh-CN"/>
        </w:rPr>
        <w:t>本项目收入全部为项目本身产生的专项收入，项目收入主要包括航空性业务收费（含起降费、停场费、旅客服务费、安检费），非航空性业务其它收费（含出租收入、物业费收入、旅客服务收入等），通航服务收入(含空中游览地面服务收入)，收入具有较强的可行性。</w:t>
      </w:r>
    </w:p>
    <w:p w14:paraId="400DAF4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Times New Roman" w:eastAsia="仿宋_GB2312" w:cs="Times New Roman"/>
          <w:sz w:val="32"/>
          <w:szCs w:val="32"/>
          <w:lang w:val="en-GB" w:eastAsia="zh-CN"/>
        </w:rPr>
      </w:pPr>
      <w:r>
        <w:rPr>
          <w:rFonts w:hint="eastAsia" w:ascii="仿宋_GB2312" w:hAnsi="Times New Roman" w:eastAsia="仿宋_GB2312" w:cs="Times New Roman"/>
          <w:sz w:val="32"/>
          <w:szCs w:val="32"/>
          <w:lang w:val="en-GB" w:eastAsia="zh-CN"/>
        </w:rPr>
        <w:t>经计算，项目计算期内预计总收入为</w:t>
      </w:r>
      <w:r>
        <w:rPr>
          <w:rFonts w:hint="eastAsia" w:ascii="仿宋" w:hAnsi="仿宋" w:eastAsia="仿宋" w:cs="仿宋"/>
          <w:b w:val="0"/>
          <w:bCs/>
          <w:color w:val="auto"/>
          <w:sz w:val="32"/>
          <w:szCs w:val="32"/>
          <w:lang w:val="en-US" w:eastAsia="zh-CN"/>
        </w:rPr>
        <w:t>76453.20</w:t>
      </w:r>
      <w:r>
        <w:rPr>
          <w:rFonts w:hint="eastAsia" w:ascii="仿宋_GB2312" w:hAnsi="Times New Roman" w:eastAsia="仿宋_GB2312" w:cs="Times New Roman"/>
          <w:sz w:val="32"/>
          <w:szCs w:val="32"/>
          <w:lang w:val="en-GB" w:eastAsia="zh-CN"/>
        </w:rPr>
        <w:t>万元。</w:t>
      </w:r>
    </w:p>
    <w:p w14:paraId="281AB9A9">
      <w:pPr>
        <w:keepNext w:val="0"/>
        <w:keepLines w:val="0"/>
        <w:pageBreakBefore w:val="0"/>
        <w:widowControl w:val="0"/>
        <w:kinsoku/>
        <w:wordWrap/>
        <w:overflowPunct/>
        <w:topLinePunct w:val="0"/>
        <w:autoSpaceDE/>
        <w:autoSpaceDN/>
        <w:bidi w:val="0"/>
        <w:adjustRightInd/>
        <w:snapToGrid w:val="0"/>
        <w:spacing w:beforeAutospacing="0" w:line="360" w:lineRule="auto"/>
        <w:ind w:left="0" w:leftChars="0" w:right="0" w:rightChars="0"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2.项目成本</w:t>
      </w:r>
    </w:p>
    <w:p w14:paraId="0B8FEBAC">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本项目成本包括经营成本（工资及福利费、外购原材料、燃料及动力费、维修费、管理费用等）、折旧摊销费、财务费用、相关税费。</w:t>
      </w:r>
    </w:p>
    <w:p w14:paraId="388E5132">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综上所述，经计算可知，本项目预测期总成本63229.03万元。</w:t>
      </w:r>
    </w:p>
    <w:p w14:paraId="2D3BA7E8">
      <w:pPr>
        <w:keepNext w:val="0"/>
        <w:keepLines w:val="0"/>
        <w:pageBreakBefore w:val="0"/>
        <w:widowControl w:val="0"/>
        <w:kinsoku/>
        <w:wordWrap/>
        <w:overflowPunct/>
        <w:topLinePunct w:val="0"/>
        <w:autoSpaceDE/>
        <w:autoSpaceDN/>
        <w:bidi w:val="0"/>
        <w:adjustRightInd/>
        <w:snapToGrid w:val="0"/>
        <w:spacing w:beforeAutospacing="0" w:line="360" w:lineRule="auto"/>
        <w:ind w:left="0" w:leftChars="0" w:right="0" w:rightChars="0"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3.项目损益</w:t>
      </w:r>
    </w:p>
    <w:p w14:paraId="774899DD">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综合上述专项收入、经营成本费用的估算，本项目在债券存续期内运营总收入预计为76453.20万元，总成本预计为63229.03万元，累计净利润为8066.74万元，本项目收入可偿债净现金流为53287.74万元，专项债券融资到期本息合计41559.84万元，本项目收益覆盖倍数为1.28倍。</w:t>
      </w:r>
    </w:p>
    <w:p w14:paraId="389449B1">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rPr>
      </w:pPr>
      <w:r>
        <w:rPr>
          <w:rFonts w:hint="eastAsia" w:ascii="仿宋" w:hAnsi="仿宋" w:eastAsia="仿宋"/>
          <w:b/>
          <w:bCs/>
          <w:color w:val="auto"/>
          <w:sz w:val="32"/>
          <w:szCs w:val="32"/>
          <w:lang w:eastAsia="zh-CN"/>
        </w:rPr>
        <w:t>（</w:t>
      </w:r>
      <w:r>
        <w:rPr>
          <w:rFonts w:hint="eastAsia" w:ascii="仿宋" w:hAnsi="仿宋" w:eastAsia="仿宋"/>
          <w:b/>
          <w:bCs/>
          <w:color w:val="auto"/>
          <w:sz w:val="32"/>
          <w:szCs w:val="32"/>
          <w:lang w:val="en-US" w:eastAsia="zh-CN"/>
        </w:rPr>
        <w:t>二</w:t>
      </w:r>
      <w:r>
        <w:rPr>
          <w:rFonts w:hint="eastAsia" w:ascii="仿宋" w:hAnsi="仿宋" w:eastAsia="仿宋"/>
          <w:b/>
          <w:bCs/>
          <w:color w:val="auto"/>
          <w:sz w:val="32"/>
          <w:szCs w:val="32"/>
          <w:lang w:eastAsia="zh-CN"/>
        </w:rPr>
        <w:t>）</w:t>
      </w:r>
      <w:r>
        <w:rPr>
          <w:rFonts w:hint="eastAsia" w:ascii="仿宋" w:hAnsi="仿宋" w:eastAsia="仿宋"/>
          <w:b/>
          <w:bCs/>
          <w:color w:val="auto"/>
          <w:sz w:val="32"/>
          <w:szCs w:val="32"/>
        </w:rPr>
        <w:t>资金测算平衡情况</w:t>
      </w:r>
    </w:p>
    <w:p w14:paraId="4E62F9E0">
      <w:pPr>
        <w:spacing w:beforeLines="50" w:afterLines="50" w:line="360" w:lineRule="auto"/>
        <w:ind w:firstLine="643" w:firstLineChars="200"/>
        <w:outlineLvl w:val="9"/>
        <w:rPr>
          <w:rFonts w:hint="eastAsia" w:ascii="仿宋" w:hAnsi="仿宋" w:eastAsia="仿宋"/>
          <w:b/>
          <w:bCs/>
          <w:sz w:val="32"/>
          <w:szCs w:val="32"/>
          <w:lang w:val="en-US" w:eastAsia="zh-CN"/>
        </w:rPr>
      </w:pPr>
      <w:bookmarkStart w:id="49" w:name="_Toc20333"/>
      <w:bookmarkStart w:id="50" w:name="_Toc18760766"/>
      <w:bookmarkStart w:id="51" w:name="_Toc24256"/>
      <w:bookmarkStart w:id="52" w:name="_Toc1381"/>
      <w:r>
        <w:rPr>
          <w:rFonts w:hint="eastAsia" w:ascii="仿宋" w:hAnsi="仿宋" w:eastAsia="仿宋"/>
          <w:b/>
          <w:bCs/>
          <w:sz w:val="32"/>
          <w:szCs w:val="32"/>
          <w:lang w:val="en-US" w:eastAsia="zh-CN"/>
        </w:rPr>
        <w:t>1.项目还本付息计划</w:t>
      </w:r>
      <w:bookmarkEnd w:id="49"/>
      <w:bookmarkEnd w:id="50"/>
      <w:bookmarkEnd w:id="51"/>
      <w:bookmarkEnd w:id="52"/>
    </w:p>
    <w:p w14:paraId="64A5381A">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项目发行债券需支付的利息，假设在年初发行债券，每半年付息一次，期满一次偿还本金和最后一笔利息。债券存续期内累计需支付利息20355.84万元，其中：专项债券建设期利息计934.53万元计入总投资，专项债券在运营期间产生的利息费用19421.31万元。</w:t>
      </w:r>
    </w:p>
    <w:p w14:paraId="4053D9DD">
      <w:pPr>
        <w:spacing w:beforeLines="50" w:afterLines="50" w:line="360" w:lineRule="auto"/>
        <w:ind w:firstLine="643" w:firstLineChars="200"/>
        <w:outlineLvl w:val="9"/>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2.项目资金平衡情况</w:t>
      </w:r>
    </w:p>
    <w:p w14:paraId="0E878EA1">
      <w:pPr>
        <w:ind w:firstLine="640" w:firstLineChars="200"/>
        <w:rPr>
          <w:rFonts w:hint="eastAsia" w:ascii="仿宋" w:hAnsi="仿宋" w:eastAsia="仿宋" w:cs="仿宋"/>
          <w:b w:val="0"/>
          <w:bCs/>
          <w:color w:val="auto"/>
          <w:kern w:val="2"/>
          <w:sz w:val="32"/>
          <w:szCs w:val="32"/>
          <w:lang w:val="en-US"/>
        </w:rPr>
      </w:pPr>
      <w:r>
        <w:rPr>
          <w:rFonts w:hint="eastAsia" w:ascii="仿宋" w:hAnsi="仿宋" w:eastAsia="仿宋" w:cs="仿宋"/>
          <w:b w:val="0"/>
          <w:bCs/>
          <w:color w:val="auto"/>
          <w:kern w:val="2"/>
          <w:sz w:val="32"/>
          <w:szCs w:val="32"/>
          <w:lang w:val="en-US"/>
        </w:rPr>
        <w:t>若项目在满足上述资金筹集计划、项目实施计划、资金使用计划及预期收益的假设前提下，政府专项债到期日累计资金结余12662.43万元，项目在预测期内息前净现金流为53287.74万元，“专项债券融资到期本息”合计41559.84万元；</w:t>
      </w:r>
    </w:p>
    <w:p w14:paraId="1A0E7DEB">
      <w:pPr>
        <w:ind w:firstLine="640" w:firstLineChars="200"/>
        <w:rPr>
          <w:rFonts w:hint="eastAsia" w:ascii="Times New Roman" w:hAnsi="Times New Roman" w:eastAsia="仿宋"/>
          <w:color w:val="auto"/>
          <w:kern w:val="2"/>
          <w:sz w:val="32"/>
          <w:szCs w:val="32"/>
          <w:lang w:val="en-US" w:eastAsia="zh-CN"/>
        </w:rPr>
        <w:sectPr>
          <w:headerReference r:id="rId3" w:type="default"/>
          <w:footerReference r:id="rId4" w:type="default"/>
          <w:pgSz w:w="11906" w:h="16838"/>
          <w:pgMar w:top="1440" w:right="1803" w:bottom="1440" w:left="1803" w:header="964" w:footer="992" w:gutter="0"/>
          <w:pgBorders>
            <w:top w:val="none" w:sz="0" w:space="0"/>
            <w:left w:val="none" w:sz="0" w:space="0"/>
            <w:bottom w:val="none" w:sz="0" w:space="0"/>
            <w:right w:val="none" w:sz="0" w:space="0"/>
          </w:pgBorders>
          <w:pgNumType w:fmt="decimal" w:start="1"/>
          <w:cols w:space="720" w:num="1"/>
          <w:docGrid w:type="lines" w:linePitch="381" w:charSpace="0"/>
        </w:sectPr>
      </w:pPr>
      <w:r>
        <w:rPr>
          <w:rFonts w:hint="eastAsia" w:ascii="仿宋" w:hAnsi="仿宋" w:eastAsia="仿宋" w:cs="仿宋"/>
          <w:b w:val="0"/>
          <w:bCs/>
          <w:color w:val="auto"/>
          <w:kern w:val="2"/>
          <w:sz w:val="32"/>
          <w:szCs w:val="32"/>
          <w:lang w:val="en-US"/>
        </w:rPr>
        <w:t>本项目收益覆盖倍数（净现金流/专项债券融资到期本息）为1.28倍，期间不存在资金缺口。</w:t>
      </w:r>
    </w:p>
    <w:p w14:paraId="174BB9B8">
      <w:pPr>
        <w:keepNext w:val="0"/>
        <w:keepLines w:val="0"/>
        <w:pageBreakBefore w:val="0"/>
        <w:widowControl w:val="0"/>
        <w:kinsoku/>
        <w:wordWrap/>
        <w:overflowPunct/>
        <w:topLinePunct w:val="0"/>
        <w:autoSpaceDE/>
        <w:autoSpaceDN/>
        <w:bidi w:val="0"/>
        <w:adjustRightInd/>
        <w:snapToGrid w:val="0"/>
        <w:spacing w:line="0" w:lineRule="atLeast"/>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rPr>
        <w:t>资金测算平衡表</w:t>
      </w:r>
    </w:p>
    <w:p w14:paraId="4A6D1D9B">
      <w:pPr>
        <w:keepNext w:val="0"/>
        <w:keepLines w:val="0"/>
        <w:pageBreakBefore w:val="0"/>
        <w:widowControl w:val="0"/>
        <w:kinsoku/>
        <w:wordWrap/>
        <w:overflowPunct/>
        <w:topLinePunct w:val="0"/>
        <w:autoSpaceDE/>
        <w:autoSpaceDN/>
        <w:bidi w:val="0"/>
        <w:adjustRightInd/>
        <w:snapToGrid w:val="0"/>
        <w:spacing w:line="0" w:lineRule="atLeast"/>
        <w:jc w:val="righ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单位：万元</w:t>
      </w:r>
    </w:p>
    <w:p w14:paraId="0431BF2B">
      <w:pPr>
        <w:jc w:val="center"/>
        <w:rPr>
          <w:rFonts w:hint="eastAsia"/>
          <w:lang w:val="en-US" w:eastAsia="zh-CN"/>
        </w:rPr>
      </w:pP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28" w:type="dxa"/>
          <w:bottom w:w="0" w:type="dxa"/>
          <w:right w:w="28" w:type="dxa"/>
        </w:tblCellMar>
      </w:tblPr>
      <w:tblGrid>
        <w:gridCol w:w="587"/>
        <w:gridCol w:w="1264"/>
        <w:gridCol w:w="786"/>
        <w:gridCol w:w="853"/>
        <w:gridCol w:w="853"/>
        <w:gridCol w:w="853"/>
        <w:gridCol w:w="853"/>
        <w:gridCol w:w="853"/>
        <w:gridCol w:w="853"/>
        <w:gridCol w:w="853"/>
        <w:gridCol w:w="853"/>
        <w:gridCol w:w="853"/>
        <w:gridCol w:w="853"/>
        <w:gridCol w:w="853"/>
        <w:gridCol w:w="853"/>
        <w:gridCol w:w="853"/>
        <w:gridCol w:w="853"/>
        <w:gridCol w:w="870"/>
      </w:tblGrid>
      <w:tr w14:paraId="66A69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260" w:hRule="atLeast"/>
        </w:trPr>
        <w:tc>
          <w:tcPr>
            <w:tcW w:w="18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34FC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序号</w:t>
            </w:r>
          </w:p>
        </w:tc>
        <w:tc>
          <w:tcPr>
            <w:tcW w:w="4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8B9C6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w:t>
            </w:r>
          </w:p>
        </w:tc>
        <w:tc>
          <w:tcPr>
            <w:tcW w:w="25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9D5B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合计 </w:t>
            </w:r>
          </w:p>
        </w:tc>
        <w:tc>
          <w:tcPr>
            <w:tcW w:w="55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A308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建设期</w:t>
            </w:r>
          </w:p>
        </w:tc>
        <w:tc>
          <w:tcPr>
            <w:tcW w:w="3594" w:type="pct"/>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E74A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运营期</w:t>
            </w:r>
          </w:p>
        </w:tc>
      </w:tr>
      <w:tr w14:paraId="16433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260" w:hRule="atLeast"/>
        </w:trPr>
        <w:tc>
          <w:tcPr>
            <w:tcW w:w="18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A3F3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eastAsia" w:ascii="宋体" w:hAnsi="宋体" w:eastAsia="宋体" w:cs="宋体"/>
                <w:i w:val="0"/>
                <w:iCs w:val="0"/>
                <w:color w:val="000000"/>
                <w:sz w:val="16"/>
                <w:szCs w:val="16"/>
                <w:u w:val="none"/>
              </w:rPr>
            </w:pPr>
          </w:p>
        </w:tc>
        <w:tc>
          <w:tcPr>
            <w:tcW w:w="4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EBB59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eastAsia" w:ascii="宋体" w:hAnsi="宋体" w:eastAsia="宋体" w:cs="宋体"/>
                <w:i w:val="0"/>
                <w:iCs w:val="0"/>
                <w:color w:val="000000"/>
                <w:sz w:val="16"/>
                <w:szCs w:val="16"/>
                <w:u w:val="none"/>
              </w:rPr>
            </w:pPr>
          </w:p>
        </w:tc>
        <w:tc>
          <w:tcPr>
            <w:tcW w:w="25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5473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eastAsia" w:ascii="宋体" w:hAnsi="宋体" w:eastAsia="宋体" w:cs="宋体"/>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455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第1年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C6B6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第2年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3A04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第3年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ADE2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第4年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F29F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第5年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E35B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第6年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48B6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第7年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F6E1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第8年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A077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第9年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E1CD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第10年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7130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第11年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D115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第12年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6B42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第13年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9D4C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第14年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8D25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第15年 </w:t>
            </w:r>
          </w:p>
        </w:tc>
      </w:tr>
      <w:tr w14:paraId="52B94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2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DD7E5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一</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06DB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经营活动产生的净现金流量</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8378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53287.74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3F2F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AC30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BD31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716.61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50D2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773.74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5610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833.36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CC7E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946.92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CC4C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1012.74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FC05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1052.10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07F2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1147.28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A19A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1184.52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C957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1225.14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222F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1341.37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8DC5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1396.10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E178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1453.42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2732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1600.55 </w:t>
            </w:r>
          </w:p>
        </w:tc>
      </w:tr>
      <w:tr w14:paraId="3DDA9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1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8EA9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FB05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现金流入</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FC93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76453.20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17CB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FC97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4279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1133.87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CA10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1195.74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A4F1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1260.24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E9AA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1392.13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145A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1463.23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A21D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1504.67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6749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1615.90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DDBE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1655.10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7DBD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1697.86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B5CE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1831.63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B416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1889.24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389D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1949.57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F6DD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2116.24 </w:t>
            </w:r>
          </w:p>
        </w:tc>
      </w:tr>
      <w:tr w14:paraId="4FC31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C40B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1.1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3611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经营收入</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486D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76453.20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A97C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729D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F152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1133.87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3617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1195.74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A3D2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1260.24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D6A3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1392.13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54CC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1463.23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67B3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1504.67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B42F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1615.90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C982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1655.10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4BC3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1697.86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0567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1831.63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315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1889.24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48FA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1949.57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D01A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2116.24 </w:t>
            </w:r>
          </w:p>
        </w:tc>
      </w:tr>
      <w:tr w14:paraId="015B5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7D16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1.2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5157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补贴收入</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0A88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9436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7EAC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5290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ED55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8099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67BB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70B8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E1FB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FFB6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CC1F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F8B7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194F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E8D1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8D7E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6816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r>
      <w:tr w14:paraId="01CE6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21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18CD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BA99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现金流出</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4123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23165.46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275E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CDBB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D443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417.26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EE63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422.00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D6F1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426.88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CBA7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445.21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BDE2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450.49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C344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452.57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96D5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468.62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A223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470.58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BFA8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472.72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7ACB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490.26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7909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493.14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22F9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496.15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79F2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515.69 </w:t>
            </w:r>
          </w:p>
        </w:tc>
      </w:tr>
      <w:tr w14:paraId="6274C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4276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8ED9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经营成本</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D5607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14790.59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BC41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9DD7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AAB6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394.14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70FF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397.23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B6E3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400.46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3301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415.73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374D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419.28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AFF1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421.36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D538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435.85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A0DE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437.81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63A2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439.95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9204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455.85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4CA2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458.73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6B38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461.74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8F9D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479.56 </w:t>
            </w:r>
          </w:p>
        </w:tc>
      </w:tr>
      <w:tr w14:paraId="74D26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43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A4F9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2.2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6833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相关税费（税金及附加</w:t>
            </w:r>
            <w:r>
              <w:rPr>
                <w:rFonts w:hint="default" w:ascii="Times New Roman" w:hAnsi="Times New Roman" w:eastAsia="宋体" w:cs="Times New Roman"/>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企业所得税）</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A043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8374.87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CA21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D181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9A1D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23.12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8C47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24.77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F03E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26.42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88D5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29.48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B45B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31.21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4401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31.21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71E4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32.77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3D29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32.77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95B9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32.77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5F93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34.41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E61A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34.41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CCD7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34.41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8290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36.13 </w:t>
            </w:r>
          </w:p>
        </w:tc>
      </w:tr>
      <w:tr w14:paraId="74F7B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1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BE3E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二</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AF419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投资活动净现金流量</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67AB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-27354.27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931F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-9736.00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2EE7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-17618.27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461C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8282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9CBB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BD97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062C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43AA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8F2F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B0E4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C523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3EDF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37C6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1B96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3C0C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r>
      <w:tr w14:paraId="4F48C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04B1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BF0A4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现金流入</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5D5B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FE42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433C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6F5C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8E88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7B0F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FC8C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3F14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EAE1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1CF2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16A4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0A7A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F0B0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D7BE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6374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A1A8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r>
      <w:tr w14:paraId="3B694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1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7084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9AFB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现金流出</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6D33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27354.27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9C2D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9736.00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DCC5C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17618.27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622D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D82E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24E9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374F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ED33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4729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37CA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8CF2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0E9B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1EEA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D878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EC3E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324E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r>
      <w:tr w14:paraId="1736E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94EA5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89B6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建设投资</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A52F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27354.27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7B68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9736.00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EBD8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17618.27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B4D1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34F4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72D1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4EB9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AF22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5858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03E5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492B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EC58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3967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73C4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86C3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57A6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r>
      <w:tr w14:paraId="2D504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3C0F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2.2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BC9A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维持运营投资</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5FEC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A176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57B1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AC36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2FBC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C2E4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9346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E990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8F5D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4321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B383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37EB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F2E8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F8A3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A49B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9A1B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r>
      <w:tr w14:paraId="5B61F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1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3A80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三</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8C7A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筹措活动净现金流量</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5DC1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26675.74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0589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9736.00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C60A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17618.27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5700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EB86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6894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BF19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DFC3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BDB5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0197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0366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26C8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D946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5324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69DF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1890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r>
      <w:tr w14:paraId="7E377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1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1059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4A60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现金流入</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6DBB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28310.00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43C6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10000.00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DFB7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18310.00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6253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CDC9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329C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65E5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BB90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30A6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B3AD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7F34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DF1B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6E37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FD88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FF01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0ED4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r>
      <w:tr w14:paraId="2DCF0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E4ED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1.1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B42C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项目资本金投入</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E8A0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7106.00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EDC5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2000.00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0F693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5106.00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DB14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F013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EADF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6A98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E0CF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005B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68E1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D62C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CAA6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1316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5271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6BFF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44EF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r>
      <w:tr w14:paraId="7BC54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530D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1.2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FF9C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专项债券资金</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9BE8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21204.00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2E7F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8000.00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4E5B2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13204.00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B2CE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6CD5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A7C2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ECD9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3AABE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2A80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3F2D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1378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E0FE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C7ED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A5C9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2019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08B7F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r>
      <w:tr w14:paraId="12AD3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10"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580F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CF64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现金流出</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98F87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14526.29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49AA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264.00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4459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691.73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F9E1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F0F8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7B26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5FDA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9624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9342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EB39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9B17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A993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1933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A980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CFAD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3742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r>
      <w:tr w14:paraId="44E04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7727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6F7F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支付债券利息</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ABBF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20355.84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0EC3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256.00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9A6D3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3461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C26E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DBB0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14E6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1125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2E75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799C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4D3B7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FEF1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477C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A43F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D02A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7FBBA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r>
      <w:tr w14:paraId="6E7F6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EDE0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2.2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5984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支付债券发行费用</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D6173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21.20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F2C8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8.00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2915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13.20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5353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7E04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D02C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7940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5241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CB06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4B49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3FA44F6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672FC09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top"/>
          </w:tcPr>
          <w:p w14:paraId="132F02B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2A9B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EE30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rPr>
                <w:rFonts w:hint="default" w:ascii="Times New Roman" w:hAnsi="Times New Roman" w:eastAsia="宋体" w:cs="Times New Roman"/>
                <w:i w:val="0"/>
                <w:iCs w:val="0"/>
                <w:color w:val="000000"/>
                <w:sz w:val="16"/>
                <w:szCs w:val="16"/>
                <w:u w:val="none"/>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E68E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rPr>
                <w:rFonts w:hint="default" w:ascii="Times New Roman" w:hAnsi="Times New Roman" w:eastAsia="宋体" w:cs="Times New Roman"/>
                <w:i w:val="0"/>
                <w:iCs w:val="0"/>
                <w:color w:val="000000"/>
                <w:sz w:val="16"/>
                <w:szCs w:val="16"/>
                <w:u w:val="none"/>
              </w:rPr>
            </w:pPr>
          </w:p>
        </w:tc>
      </w:tr>
      <w:tr w14:paraId="2E366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1B2B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2.3 </w:t>
            </w:r>
          </w:p>
        </w:tc>
        <w:tc>
          <w:tcPr>
            <w:tcW w:w="408" w:type="pct"/>
            <w:tcBorders>
              <w:top w:val="single" w:color="000000" w:sz="4" w:space="0"/>
              <w:left w:val="single" w:color="000000" w:sz="4" w:space="0"/>
              <w:bottom w:val="nil"/>
              <w:right w:val="single" w:color="000000" w:sz="4" w:space="0"/>
            </w:tcBorders>
            <w:shd w:val="clear" w:color="auto" w:fill="auto"/>
            <w:vAlign w:val="center"/>
          </w:tcPr>
          <w:p w14:paraId="6FAA300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偿还专项债券本金</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2A001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21204.00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15DF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68FD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2650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6B65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8AC5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D7F8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27A1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B3C9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57A2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5807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3A958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5E91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C47B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EF9C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75BA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r>
      <w:tr w14:paraId="367AA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F634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四</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790E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现金流量总计</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91ED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9024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3A02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EC8A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8B40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DB29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4BBA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F740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E7EB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F01F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A300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6923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03FB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DBEF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D11A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6ABF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r>
      <w:tr w14:paraId="37F78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7656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EEC6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项目期的期初资金</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611D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F808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7EA4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039D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F355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38.08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1843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133.30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32DC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288.13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27F9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556.52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9178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890.73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CCEE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1264.30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2D67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1733.05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919D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2239.04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1646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2785.66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AC51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3448.50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E001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4166.07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9E0B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4940.96 </w:t>
            </w:r>
          </w:p>
        </w:tc>
      </w:tr>
      <w:tr w14:paraId="4FA15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43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2C70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3688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项目期内现金变动（一</w:t>
            </w:r>
            <w:r>
              <w:rPr>
                <w:rFonts w:hint="default" w:ascii="Times New Roman" w:hAnsi="Times New Roman" w:eastAsia="宋体" w:cs="Times New Roman"/>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二</w:t>
            </w:r>
            <w:r>
              <w:rPr>
                <w:rFonts w:hint="default" w:ascii="Times New Roman" w:hAnsi="Times New Roman" w:eastAsia="宋体" w:cs="Times New Roman"/>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三）</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4FD5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12662.43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1580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733E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D21C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38.08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6353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95.21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814A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154.83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D6E5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268.39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208C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334.21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EE51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373.58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5D00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468.75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BA4F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505.99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8381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546.61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9C63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662.84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3706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717.57 </w:t>
            </w:r>
          </w:p>
        </w:tc>
        <w:tc>
          <w:tcPr>
            <w:tcW w:w="2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1B1E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774.89 </w:t>
            </w:r>
          </w:p>
        </w:tc>
        <w:tc>
          <w:tcPr>
            <w:tcW w:w="2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0BD1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000000"/>
                <w:sz w:val="16"/>
                <w:szCs w:val="16"/>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922.02 </w:t>
            </w:r>
          </w:p>
        </w:tc>
      </w:tr>
      <w:tr w14:paraId="2199F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225" w:hRule="atLeast"/>
        </w:trPr>
        <w:tc>
          <w:tcPr>
            <w:tcW w:w="1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F644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 </w:t>
            </w:r>
          </w:p>
        </w:tc>
        <w:tc>
          <w:tcPr>
            <w:tcW w:w="4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9AE5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项目期的期末资金</w:t>
            </w:r>
          </w:p>
        </w:tc>
        <w:tc>
          <w:tcPr>
            <w:tcW w:w="2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84A3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000000"/>
                <w:sz w:val="16"/>
                <w:szCs w:val="16"/>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9073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9CF95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53FD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38.08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CB38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133.30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C80EF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288.13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D06B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556.52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0FC7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890.73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76FA2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1264.30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616E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1733.05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AB5C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2239.04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7E86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2785.66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5A85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3448.50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B667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4166.07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3AEE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4940.96 </w:t>
            </w:r>
          </w:p>
        </w:tc>
        <w:tc>
          <w:tcPr>
            <w:tcW w:w="2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BB30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000000"/>
                <w:sz w:val="16"/>
                <w:szCs w:val="16"/>
                <w:u w:val="none"/>
              </w:rPr>
            </w:pPr>
            <w:r>
              <w:rPr>
                <w:rFonts w:hint="default" w:ascii="Times New Roman" w:hAnsi="Times New Roman" w:eastAsia="宋体" w:cs="Times New Roman"/>
                <w:i w:val="0"/>
                <w:iCs w:val="0"/>
                <w:color w:val="000000"/>
                <w:kern w:val="0"/>
                <w:sz w:val="16"/>
                <w:szCs w:val="16"/>
                <w:u w:val="none"/>
                <w:lang w:val="en-US" w:eastAsia="zh-CN" w:bidi="ar"/>
              </w:rPr>
              <w:t xml:space="preserve">5862.98 </w:t>
            </w:r>
          </w:p>
        </w:tc>
      </w:tr>
    </w:tbl>
    <w:p w14:paraId="63368096">
      <w:pPr>
        <w:pStyle w:val="4"/>
        <w:ind w:left="0" w:leftChars="0" w:firstLine="0" w:firstLineChars="0"/>
        <w:rPr>
          <w:rFonts w:hint="eastAsia" w:ascii="仿宋" w:hAnsi="仿宋" w:eastAsia="仿宋" w:cs="仿宋"/>
          <w:b/>
          <w:bCs/>
          <w:sz w:val="28"/>
          <w:szCs w:val="28"/>
          <w:lang w:val="en-US" w:eastAsia="zh-CN"/>
        </w:rPr>
        <w:sectPr>
          <w:pgSz w:w="16838" w:h="11906" w:orient="landscape"/>
          <w:pgMar w:top="720" w:right="720" w:bottom="720" w:left="720" w:header="851" w:footer="992" w:gutter="0"/>
          <w:pgNumType w:fmt="decimal"/>
          <w:cols w:space="720" w:num="1"/>
          <w:docGrid w:type="lines" w:linePitch="312" w:charSpace="0"/>
        </w:sectPr>
      </w:pPr>
    </w:p>
    <w:p w14:paraId="23D69595">
      <w:pPr>
        <w:pStyle w:val="4"/>
        <w:ind w:left="0" w:leftChars="0" w:firstLine="0" w:firstLineChars="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续前表《资本金测算表》</w:t>
      </w: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23" w:type="dxa"/>
          <w:bottom w:w="0" w:type="dxa"/>
          <w:right w:w="23" w:type="dxa"/>
        </w:tblCellMar>
      </w:tblPr>
      <w:tblGrid>
        <w:gridCol w:w="422"/>
        <w:gridCol w:w="1372"/>
        <w:gridCol w:w="864"/>
        <w:gridCol w:w="796"/>
        <w:gridCol w:w="796"/>
        <w:gridCol w:w="798"/>
        <w:gridCol w:w="798"/>
        <w:gridCol w:w="798"/>
        <w:gridCol w:w="798"/>
        <w:gridCol w:w="798"/>
        <w:gridCol w:w="798"/>
        <w:gridCol w:w="798"/>
        <w:gridCol w:w="798"/>
        <w:gridCol w:w="798"/>
        <w:gridCol w:w="798"/>
        <w:gridCol w:w="798"/>
        <w:gridCol w:w="798"/>
        <w:gridCol w:w="798"/>
        <w:gridCol w:w="825"/>
      </w:tblGrid>
      <w:tr w14:paraId="05B2B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3" w:type="dxa"/>
            <w:bottom w:w="0" w:type="dxa"/>
            <w:right w:w="23" w:type="dxa"/>
          </w:tblCellMar>
        </w:tblPrEx>
        <w:trPr>
          <w:trHeight w:val="23" w:hRule="atLeast"/>
          <w:tblHeader/>
        </w:trPr>
        <w:tc>
          <w:tcPr>
            <w:tcW w:w="13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7CA7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序号</w:t>
            </w:r>
          </w:p>
        </w:tc>
        <w:tc>
          <w:tcPr>
            <w:tcW w:w="4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D668E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项目</w:t>
            </w:r>
          </w:p>
        </w:tc>
        <w:tc>
          <w:tcPr>
            <w:tcW w:w="27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094F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 xml:space="preserve"> 合计 </w:t>
            </w:r>
          </w:p>
        </w:tc>
        <w:tc>
          <w:tcPr>
            <w:tcW w:w="4139" w:type="pct"/>
            <w:gridSpan w:val="1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FF29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运营期</w:t>
            </w:r>
          </w:p>
        </w:tc>
      </w:tr>
      <w:tr w14:paraId="70D76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blHeader/>
        </w:trPr>
        <w:tc>
          <w:tcPr>
            <w:tcW w:w="13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8337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eastAsia" w:ascii="宋体" w:hAnsi="宋体" w:eastAsia="宋体" w:cs="宋体"/>
                <w:i w:val="0"/>
                <w:iCs w:val="0"/>
                <w:color w:val="auto"/>
                <w:sz w:val="16"/>
                <w:szCs w:val="16"/>
                <w:highlight w:val="none"/>
                <w:u w:val="none"/>
              </w:rPr>
            </w:pPr>
          </w:p>
        </w:tc>
        <w:tc>
          <w:tcPr>
            <w:tcW w:w="4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13F58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eastAsia" w:ascii="宋体" w:hAnsi="宋体" w:eastAsia="宋体" w:cs="宋体"/>
                <w:i w:val="0"/>
                <w:iCs w:val="0"/>
                <w:color w:val="auto"/>
                <w:sz w:val="16"/>
                <w:szCs w:val="16"/>
                <w:highlight w:val="none"/>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459E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eastAsia" w:ascii="宋体" w:hAnsi="宋体" w:eastAsia="宋体" w:cs="宋体"/>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0F51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 xml:space="preserve"> 第16年 </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759E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第17年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1A81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第18年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E7F2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第19年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B9D5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第20年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6215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第21年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466D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第22年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67B3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第23年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99F3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第24年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F54C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第25年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AA43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第26年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5B0C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第27年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0068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第28年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BD49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第29年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B99F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pPr>
            <w:r>
              <w:rPr>
                <w:rFonts w:hint="eastAsia" w:ascii="宋体" w:hAnsi="宋体" w:eastAsia="宋体" w:cs="宋体"/>
                <w:i w:val="0"/>
                <w:iCs w:val="0"/>
                <w:color w:val="000000"/>
                <w:kern w:val="0"/>
                <w:sz w:val="16"/>
                <w:szCs w:val="16"/>
                <w:u w:val="none"/>
                <w:lang w:val="en-US" w:eastAsia="zh-CN" w:bidi="ar"/>
              </w:rPr>
              <w:t xml:space="preserve"> 第30年 </w:t>
            </w: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01D5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 xml:space="preserve"> 第31年 </w:t>
            </w:r>
          </w:p>
        </w:tc>
      </w:tr>
      <w:tr w14:paraId="33267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41F9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000000"/>
                <w:kern w:val="0"/>
                <w:sz w:val="16"/>
                <w:szCs w:val="16"/>
                <w:u w:val="none"/>
                <w:lang w:val="en-US" w:eastAsia="zh-CN" w:bidi="ar"/>
              </w:rPr>
              <w:t>一</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189C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000000"/>
                <w:kern w:val="0"/>
                <w:sz w:val="16"/>
                <w:szCs w:val="16"/>
                <w:u w:val="none"/>
                <w:lang w:val="en-US" w:eastAsia="zh-CN" w:bidi="ar"/>
              </w:rPr>
              <w:t>经营活动产生的净现金流量</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A03E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53287.74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7B1B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1672.36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FD60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1737.43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39B7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1872.65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1CE3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1942.38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9B52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2018.26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B3C29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2191.57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87FA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2285.97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1A0D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2145.07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947D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2341.56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6DD8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2456.33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2197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2581.18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0FC7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2843.97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96E5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3072.34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1123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3072.34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DCFC4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3217.24 </w:t>
            </w: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8B7A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3153.24 </w:t>
            </w:r>
          </w:p>
        </w:tc>
      </w:tr>
      <w:tr w14:paraId="778D1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98F7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2A88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000000"/>
                <w:kern w:val="0"/>
                <w:sz w:val="16"/>
                <w:szCs w:val="16"/>
                <w:u w:val="none"/>
                <w:lang w:val="en-US" w:eastAsia="zh-CN" w:bidi="ar"/>
              </w:rPr>
              <w:t>现金流入</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35C2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76453.20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7350A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2191.83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42B5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2274.41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475F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2476.38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041D9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2574.24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04BC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2680.75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A692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2936.57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4262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3069.06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9F62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3205.05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594AB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3522.17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577B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3692.81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1BB1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3878.46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3F6D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4284.47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3C7C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4624.78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EB69B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4624.78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6439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4856.01 </w:t>
            </w: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E8E7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4856.01 </w:t>
            </w:r>
          </w:p>
        </w:tc>
      </w:tr>
      <w:tr w14:paraId="088C7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A94D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1.1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034B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经营收入</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4F6D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76453.20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EC11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2191.83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888C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2274.41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0DB84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2476.38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1A5F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2574.24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F2BA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2680.75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C808E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2936.57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20BB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3069.06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C869C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3205.05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B33E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3522.17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473F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3692.81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FDEB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3878.46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AAE7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4284.47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1F17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4624.78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CD3C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4624.78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171AD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4856.01 </w:t>
            </w: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21C2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4856.01 </w:t>
            </w:r>
          </w:p>
        </w:tc>
      </w:tr>
      <w:tr w14:paraId="0AE4D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34FD2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1.2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948E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补贴收入</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AB1F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0.00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DD084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CF40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B9B3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DC14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F09F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B49D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B505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2F18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0E34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005B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4FEF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BBC5F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CB15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F293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C26C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A951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auto"/>
                <w:sz w:val="16"/>
                <w:szCs w:val="16"/>
                <w:highlight w:val="none"/>
                <w:u w:val="none"/>
              </w:rPr>
            </w:pPr>
          </w:p>
        </w:tc>
      </w:tr>
      <w:tr w14:paraId="54FD0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BB3E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5C08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000000"/>
                <w:kern w:val="0"/>
                <w:sz w:val="16"/>
                <w:szCs w:val="16"/>
                <w:u w:val="none"/>
                <w:lang w:val="en-US" w:eastAsia="zh-CN" w:bidi="ar"/>
              </w:rPr>
              <w:t>现金流出</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202C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23165.46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6E2F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519.47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61A4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536.98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7F46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603.73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0654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631.86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4EAF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662.49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E733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745.00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55C9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783.09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263E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1059.98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1582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1180.61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43E9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1236.48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D7AAD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1297.28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19B9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1440.50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176D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1552.44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FDB1F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1552.44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A378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1638.77 </w:t>
            </w: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A663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1702.77 </w:t>
            </w:r>
          </w:p>
        </w:tc>
      </w:tr>
      <w:tr w14:paraId="33A41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D520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2EEF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经营成本</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63D45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14790.59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600C6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483.34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3572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487.47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C7D2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507.33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BA7D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512.22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92C9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517.55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625B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540.40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82DE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547.02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9B321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553.82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3908C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580.04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AB2D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588.57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13CDC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597.85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7D7F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628.83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AA68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645.84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256E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645.84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68DE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668.39 </w:t>
            </w: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2848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668.39 </w:t>
            </w:r>
          </w:p>
        </w:tc>
      </w:tr>
      <w:tr w14:paraId="4509A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2692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2.2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6302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相关税费（税金及附加</w:t>
            </w:r>
            <w:r>
              <w:rPr>
                <w:rFonts w:hint="default" w:ascii="Times New Roman" w:hAnsi="Times New Roman" w:eastAsia="宋体" w:cs="Times New Roman"/>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企业所得税）</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7C8F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8374.87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4438E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36.13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F791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49.51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417F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96.40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0D24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119.64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AA9E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144.94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CBC5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204.60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534DC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236.07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22EF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506.16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0894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600.57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54283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647.91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C1EC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699.43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1B35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811.67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BB39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906.60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0F0F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906.60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6934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970.38 </w:t>
            </w: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580B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1034.38 </w:t>
            </w:r>
          </w:p>
        </w:tc>
      </w:tr>
      <w:tr w14:paraId="4DD67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7A42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000000"/>
                <w:kern w:val="0"/>
                <w:sz w:val="16"/>
                <w:szCs w:val="16"/>
                <w:u w:val="none"/>
                <w:lang w:val="en-US" w:eastAsia="zh-CN" w:bidi="ar"/>
              </w:rPr>
              <w:t>二</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6C0E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000000"/>
                <w:kern w:val="0"/>
                <w:sz w:val="16"/>
                <w:szCs w:val="16"/>
                <w:u w:val="none"/>
                <w:lang w:val="en-US" w:eastAsia="zh-CN" w:bidi="ar"/>
              </w:rPr>
              <w:t>投资活动净现金流量</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42E19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-27354.27 </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B3B4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56D2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82BB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260C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5BCB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49C1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8466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0268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C89E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5374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BB5E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B850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8B77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8604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C57A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2975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auto"/>
                <w:sz w:val="16"/>
                <w:szCs w:val="16"/>
                <w:highlight w:val="none"/>
                <w:u w:val="none"/>
              </w:rPr>
            </w:pPr>
          </w:p>
        </w:tc>
      </w:tr>
      <w:tr w14:paraId="6D2CE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EEFD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64DF4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000000"/>
                <w:kern w:val="0"/>
                <w:sz w:val="16"/>
                <w:szCs w:val="16"/>
                <w:u w:val="none"/>
                <w:lang w:val="en-US" w:eastAsia="zh-CN" w:bidi="ar"/>
              </w:rPr>
              <w:t>现金流入</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9AE4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E691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C9DA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9013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4853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C93C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58F7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D0D4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932E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F2E0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FEA9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4C1F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7C4A6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49CF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E7D4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B34B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2BE0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auto"/>
                <w:sz w:val="16"/>
                <w:szCs w:val="16"/>
                <w:highlight w:val="none"/>
                <w:u w:val="none"/>
              </w:rPr>
            </w:pPr>
          </w:p>
        </w:tc>
      </w:tr>
      <w:tr w14:paraId="14D9C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7919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0323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000000"/>
                <w:kern w:val="0"/>
                <w:sz w:val="16"/>
                <w:szCs w:val="16"/>
                <w:u w:val="none"/>
                <w:lang w:val="en-US" w:eastAsia="zh-CN" w:bidi="ar"/>
              </w:rPr>
              <w:t>现金流出</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837E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27354.27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8E8F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866C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D05A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ECE4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9AEF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2A55B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28D57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AD83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36F7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A06E8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F08F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7D49A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0FEA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03950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ED63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7A22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auto"/>
                <w:sz w:val="16"/>
                <w:szCs w:val="16"/>
                <w:highlight w:val="none"/>
                <w:u w:val="none"/>
              </w:rPr>
            </w:pPr>
          </w:p>
        </w:tc>
      </w:tr>
      <w:tr w14:paraId="516A2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8C2A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AA41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建设投资</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8669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27354.27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543A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3C5F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E80F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3EA5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FA09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348F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F824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64FA3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AADB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1B82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B67B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8584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8FAB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86FB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9239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C5F4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auto"/>
                <w:sz w:val="16"/>
                <w:szCs w:val="16"/>
                <w:highlight w:val="none"/>
                <w:u w:val="none"/>
              </w:rPr>
            </w:pPr>
          </w:p>
        </w:tc>
      </w:tr>
      <w:tr w14:paraId="1F690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643D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2.2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EEEA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维持运营投资</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CB09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0.00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7CCAE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4E8A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5AAB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B99E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1F94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78A54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BDDF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604E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0D29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79AD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0901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59F8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7497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75D1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0C54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7776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auto"/>
                <w:sz w:val="16"/>
                <w:szCs w:val="16"/>
                <w:highlight w:val="none"/>
                <w:u w:val="none"/>
              </w:rPr>
            </w:pPr>
          </w:p>
        </w:tc>
      </w:tr>
      <w:tr w14:paraId="17B34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32BB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000000"/>
                <w:kern w:val="0"/>
                <w:sz w:val="16"/>
                <w:szCs w:val="16"/>
                <w:u w:val="none"/>
                <w:lang w:val="en-US" w:eastAsia="zh-CN" w:bidi="ar"/>
              </w:rPr>
              <w:t>三</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0725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000000"/>
                <w:kern w:val="0"/>
                <w:sz w:val="16"/>
                <w:szCs w:val="16"/>
                <w:u w:val="none"/>
                <w:lang w:val="en-US" w:eastAsia="zh-CN" w:bidi="ar"/>
              </w:rPr>
              <w:t>筹措活动净现金流量</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5F0A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26675.74 </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011A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A7D9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1C22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C614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87B6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0EE4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0E3D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A788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FEB9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EAF5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AB9E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116F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D4F2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8AB1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4853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-8678.53 </w:t>
            </w: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3669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-13626.53 </w:t>
            </w:r>
          </w:p>
        </w:tc>
      </w:tr>
      <w:tr w14:paraId="10391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A3827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E558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000000"/>
                <w:kern w:val="0"/>
                <w:sz w:val="16"/>
                <w:szCs w:val="16"/>
                <w:u w:val="none"/>
                <w:lang w:val="en-US" w:eastAsia="zh-CN" w:bidi="ar"/>
              </w:rPr>
              <w:t>现金流入</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6BE3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28310.00 </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9D81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3B6F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AC00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5387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C158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0854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71F0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6E36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756F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5603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2B6B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847A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4ADF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68B1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F525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BE81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auto"/>
                <w:sz w:val="16"/>
                <w:szCs w:val="16"/>
                <w:highlight w:val="none"/>
                <w:u w:val="none"/>
              </w:rPr>
            </w:pPr>
          </w:p>
        </w:tc>
      </w:tr>
      <w:tr w14:paraId="410A4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1A75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1.1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2DFA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项目资本金投入</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78EB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7106.00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6C578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2018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2C81E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04DA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D8A0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D715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1DF1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A02C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5979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2F63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F0E7D">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67CA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823CD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1794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719B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7108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auto"/>
                <w:sz w:val="16"/>
                <w:szCs w:val="16"/>
                <w:highlight w:val="none"/>
                <w:u w:val="none"/>
              </w:rPr>
            </w:pPr>
          </w:p>
        </w:tc>
      </w:tr>
      <w:tr w14:paraId="256B3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4705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1.2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4F72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专项债券资金</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7C88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21204.00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F5E2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018F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2282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3958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2170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8191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A8CA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A699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4B77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1B7A2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9D7F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DC76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3D21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DFB3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3404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9F50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auto"/>
                <w:sz w:val="16"/>
                <w:szCs w:val="16"/>
                <w:highlight w:val="none"/>
                <w:u w:val="none"/>
              </w:rPr>
            </w:pPr>
          </w:p>
        </w:tc>
      </w:tr>
      <w:tr w14:paraId="4EFE0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BA73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2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52D1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b/>
                <w:bCs/>
                <w:i w:val="0"/>
                <w:iCs w:val="0"/>
                <w:color w:val="000000"/>
                <w:kern w:val="0"/>
                <w:sz w:val="16"/>
                <w:szCs w:val="16"/>
                <w:u w:val="none"/>
                <w:lang w:val="en-US" w:eastAsia="zh-CN" w:bidi="ar"/>
              </w:rPr>
              <w:t>现金流出</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5453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14526.29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EEDC3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9192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2CB2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B230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585C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ED73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69D2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5B80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CEC5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C8D8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B887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3CFA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EE57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BC08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83A0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8678.53 </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74DA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13626.53 </w:t>
            </w:r>
          </w:p>
        </w:tc>
      </w:tr>
      <w:tr w14:paraId="60379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14EF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9AF8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支付债券利息</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3238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20355.84 </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2698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3405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C8A0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74FE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ABEF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0927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6615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E8C7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64DA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81BC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3A76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BFA1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BE36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61FC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5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80C6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678.53 </w:t>
            </w: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B5D5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422.53 </w:t>
            </w:r>
          </w:p>
        </w:tc>
      </w:tr>
      <w:tr w14:paraId="17FDB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1753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2.2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F791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支付债券发行费用</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4887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21.20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F353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rPr>
                <w:rFonts w:hint="default" w:ascii="Times New Roman" w:hAnsi="Times New Roman" w:eastAsia="宋体"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D870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9DB4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D8F2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0B44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BF66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2C1EF">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0E2A9">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5DC8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C7133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9305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241AD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A1B1F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49EBB">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E24D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pP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D1B71">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rPr>
                <w:rFonts w:hint="default" w:ascii="Times New Roman" w:hAnsi="Times New Roman" w:eastAsia="宋体" w:cs="Times New Roman"/>
                <w:i w:val="0"/>
                <w:iCs w:val="0"/>
                <w:color w:val="auto"/>
                <w:sz w:val="16"/>
                <w:szCs w:val="16"/>
                <w:highlight w:val="none"/>
                <w:u w:val="none"/>
              </w:rPr>
            </w:pPr>
          </w:p>
        </w:tc>
      </w:tr>
      <w:tr w14:paraId="2323B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E332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2.3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FA768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偿还专项债券本金</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55DC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21204.00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C197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3EFA5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EBDC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FBD8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2699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1055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91CD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7129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2A15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3214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D426A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7121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8B28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A5DD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0.00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F94E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8000.00 </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D1900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13204.00 </w:t>
            </w:r>
          </w:p>
        </w:tc>
      </w:tr>
      <w:tr w14:paraId="5A4E7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2616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四</w:t>
            </w:r>
          </w:p>
        </w:tc>
        <w:tc>
          <w:tcPr>
            <w:tcW w:w="444" w:type="pct"/>
            <w:tcBorders>
              <w:top w:val="single" w:color="000000" w:sz="4" w:space="0"/>
              <w:left w:val="single" w:color="000000" w:sz="4" w:space="0"/>
              <w:bottom w:val="nil"/>
              <w:right w:val="single" w:color="000000" w:sz="4" w:space="0"/>
            </w:tcBorders>
            <w:shd w:val="clear" w:color="auto" w:fill="auto"/>
            <w:vAlign w:val="center"/>
          </w:tcPr>
          <w:p w14:paraId="3F8A53A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现金流量总计</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8C0E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0.00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B36B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F63B6">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D64A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82CF0">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9766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E9CA2">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8A86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14393">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7270A">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1BEE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1C09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1DA78">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5911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570E4">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8F6F7">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pP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FD7EC">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auto"/>
                <w:sz w:val="16"/>
                <w:szCs w:val="16"/>
                <w:highlight w:val="none"/>
                <w:u w:val="none"/>
              </w:rPr>
            </w:pPr>
          </w:p>
        </w:tc>
      </w:tr>
      <w:tr w14:paraId="4F383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31FD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1 </w:t>
            </w:r>
          </w:p>
        </w:tc>
        <w:tc>
          <w:tcPr>
            <w:tcW w:w="444" w:type="pct"/>
            <w:tcBorders>
              <w:top w:val="single" w:color="000000" w:sz="4" w:space="0"/>
              <w:left w:val="single" w:color="000000" w:sz="4" w:space="0"/>
              <w:bottom w:val="nil"/>
              <w:right w:val="single" w:color="000000" w:sz="4" w:space="0"/>
            </w:tcBorders>
            <w:shd w:val="clear" w:color="auto" w:fill="auto"/>
            <w:vAlign w:val="center"/>
          </w:tcPr>
          <w:p w14:paraId="6601AC27">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项目期的期初资金</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45A25">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3899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5862.98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3BA6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6856.81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FF1F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7915.71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4A96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9109.84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60F9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10373.69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F0FF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11713.43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EE8E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13226.47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54D2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14833.92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366C8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16300.46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AD42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17963.49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51A06">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19741.30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BEAF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21643.94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BE7B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23809.39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D458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26203.19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055E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28597.00 </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06A7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23135.72 </w:t>
            </w:r>
          </w:p>
        </w:tc>
      </w:tr>
      <w:tr w14:paraId="5AF99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E9FAA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2 </w:t>
            </w:r>
          </w:p>
        </w:tc>
        <w:tc>
          <w:tcPr>
            <w:tcW w:w="444" w:type="pct"/>
            <w:tcBorders>
              <w:top w:val="single" w:color="000000" w:sz="4" w:space="0"/>
              <w:left w:val="single" w:color="000000" w:sz="4" w:space="0"/>
              <w:bottom w:val="nil"/>
              <w:right w:val="single" w:color="000000" w:sz="4" w:space="0"/>
            </w:tcBorders>
            <w:shd w:val="clear" w:color="auto" w:fill="auto"/>
            <w:vAlign w:val="center"/>
          </w:tcPr>
          <w:p w14:paraId="00B0308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项目期内现金变动（一</w:t>
            </w:r>
            <w:r>
              <w:rPr>
                <w:rFonts w:hint="default" w:ascii="Times New Roman" w:hAnsi="Times New Roman" w:eastAsia="宋体" w:cs="Times New Roman"/>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二</w:t>
            </w:r>
            <w:r>
              <w:rPr>
                <w:rFonts w:hint="default" w:ascii="Times New Roman" w:hAnsi="Times New Roman" w:eastAsia="宋体" w:cs="Times New Roman"/>
                <w:i w:val="0"/>
                <w:iCs w:val="0"/>
                <w:color w:val="000000"/>
                <w:kern w:val="0"/>
                <w:sz w:val="16"/>
                <w:szCs w:val="16"/>
                <w:u w:val="none"/>
                <w:lang w:val="en-US" w:eastAsia="zh-CN" w:bidi="ar"/>
              </w:rPr>
              <w:t>+</w:t>
            </w:r>
            <w:r>
              <w:rPr>
                <w:rFonts w:hint="eastAsia" w:ascii="宋体" w:hAnsi="宋体" w:eastAsia="宋体" w:cs="宋体"/>
                <w:i w:val="0"/>
                <w:iCs w:val="0"/>
                <w:color w:val="000000"/>
                <w:kern w:val="0"/>
                <w:sz w:val="16"/>
                <w:szCs w:val="16"/>
                <w:u w:val="none"/>
                <w:lang w:val="en-US" w:eastAsia="zh-CN" w:bidi="ar"/>
              </w:rPr>
              <w:t>三）</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FFED1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12662.43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1D5F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993.83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E9E4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1058.90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5249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1194.12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F33DD">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1263.85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2199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1339.74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4805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1513.05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B3188">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1607.44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A924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1466.54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D56FF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1663.03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5598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1777.81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E3BA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1902.65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D32E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2165.44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255D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2393.81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4F94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2393.81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B26B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b/>
                <w:bCs/>
                <w:i w:val="0"/>
                <w:iCs w:val="0"/>
                <w:color w:val="000000"/>
                <w:kern w:val="0"/>
                <w:sz w:val="16"/>
                <w:szCs w:val="16"/>
                <w:u w:val="none"/>
                <w:lang w:val="en-US" w:eastAsia="zh-CN" w:bidi="ar"/>
              </w:rPr>
              <w:t xml:space="preserve">-5461.28 </w:t>
            </w:r>
          </w:p>
        </w:tc>
        <w:tc>
          <w:tcPr>
            <w:tcW w:w="2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DC31A">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b/>
                <w:bCs/>
                <w:i w:val="0"/>
                <w:iCs w:val="0"/>
                <w:color w:val="000000"/>
                <w:kern w:val="0"/>
                <w:sz w:val="16"/>
                <w:szCs w:val="16"/>
                <w:u w:val="none"/>
                <w:lang w:val="en-US" w:eastAsia="zh-CN" w:bidi="ar"/>
              </w:rPr>
              <w:t xml:space="preserve">-10473.28 </w:t>
            </w:r>
          </w:p>
        </w:tc>
      </w:tr>
      <w:tr w14:paraId="03C3C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23" w:hRule="atLeast"/>
        </w:trPr>
        <w:tc>
          <w:tcPr>
            <w:tcW w:w="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8FF5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3 </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E26A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16"/>
                <w:szCs w:val="16"/>
                <w:u w:val="none"/>
                <w:lang w:val="en-US" w:eastAsia="zh-CN" w:bidi="ar"/>
              </w:rPr>
              <w:t>项目期的期末资金</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A3E5E">
            <w:pPr>
              <w:keepNext w:val="0"/>
              <w:keepLines w:val="0"/>
              <w:pageBreakBefore w:val="0"/>
              <w:widowControl/>
              <w:kinsoku/>
              <w:wordWrap/>
              <w:overflowPunct/>
              <w:topLinePunct w:val="0"/>
              <w:autoSpaceDE/>
              <w:autoSpaceDN/>
              <w:bidi w:val="0"/>
              <w:adjustRightInd w:val="0"/>
              <w:snapToGrid w:val="0"/>
              <w:spacing w:before="0" w:beforeLines="0" w:after="0" w:afterLines="0" w:line="240" w:lineRule="auto"/>
              <w:ind w:firstLine="0" w:firstLineChars="0"/>
              <w:jc w:val="center"/>
              <w:rPr>
                <w:rFonts w:hint="default" w:ascii="Times New Roman" w:hAnsi="Times New Roman" w:eastAsia="宋体" w:cs="Times New Roman"/>
                <w:b/>
                <w:bCs/>
                <w:i w:val="0"/>
                <w:iCs w:val="0"/>
                <w:color w:val="auto"/>
                <w:sz w:val="16"/>
                <w:szCs w:val="16"/>
                <w:highlight w:val="none"/>
                <w:u w:val="none"/>
              </w:rPr>
            </w:pP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2821C">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b/>
                <w:bCs/>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6856.81 </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8135B">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7915.71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90AD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9109.84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D6D10">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10373.69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D6E63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11713.43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C5A8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13226.47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B087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14833.92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7CBD3">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16300.46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E6781">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17963.49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011D4">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19741.30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EFCDF">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21643.94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62AD5">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23809.39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07299">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26203.19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199B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28597.00 </w:t>
            </w:r>
          </w:p>
        </w:tc>
        <w:tc>
          <w:tcPr>
            <w:tcW w:w="2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2137E">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pPr>
            <w:r>
              <w:rPr>
                <w:rFonts w:hint="default" w:ascii="Times New Roman" w:hAnsi="Times New Roman" w:eastAsia="宋体" w:cs="Times New Roman"/>
                <w:i w:val="0"/>
                <w:iCs w:val="0"/>
                <w:color w:val="000000"/>
                <w:kern w:val="0"/>
                <w:sz w:val="16"/>
                <w:szCs w:val="16"/>
                <w:u w:val="none"/>
                <w:lang w:val="en-US" w:eastAsia="zh-CN" w:bidi="ar"/>
              </w:rPr>
              <w:t xml:space="preserve">23135.72 </w:t>
            </w:r>
          </w:p>
        </w:tc>
        <w:tc>
          <w:tcPr>
            <w:tcW w:w="2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0C732">
            <w:pPr>
              <w:keepNext w:val="0"/>
              <w:keepLines w:val="0"/>
              <w:pageBreakBefore w:val="0"/>
              <w:widowControl/>
              <w:suppressLineNumbers w:val="0"/>
              <w:kinsoku/>
              <w:wordWrap/>
              <w:overflowPunct/>
              <w:topLinePunct w:val="0"/>
              <w:autoSpaceDE/>
              <w:autoSpaceDN/>
              <w:bidi w:val="0"/>
              <w:adjustRightInd w:val="0"/>
              <w:snapToGrid w:val="0"/>
              <w:spacing w:before="0" w:beforeLines="0" w:after="0" w:afterLines="0" w:line="240" w:lineRule="auto"/>
              <w:ind w:firstLine="0" w:firstLineChars="0"/>
              <w:jc w:val="center"/>
              <w:textAlignment w:val="center"/>
              <w:rPr>
                <w:rFonts w:hint="default" w:ascii="Times New Roman" w:hAnsi="Times New Roman" w:eastAsia="宋体" w:cs="Times New Roman"/>
                <w:i w:val="0"/>
                <w:iCs w:val="0"/>
                <w:color w:val="auto"/>
                <w:sz w:val="16"/>
                <w:szCs w:val="16"/>
                <w:highlight w:val="none"/>
                <w:u w:val="none"/>
              </w:rPr>
            </w:pPr>
            <w:r>
              <w:rPr>
                <w:rFonts w:hint="default" w:ascii="Times New Roman" w:hAnsi="Times New Roman" w:eastAsia="宋体" w:cs="Times New Roman"/>
                <w:i w:val="0"/>
                <w:iCs w:val="0"/>
                <w:color w:val="000000"/>
                <w:kern w:val="0"/>
                <w:sz w:val="16"/>
                <w:szCs w:val="16"/>
                <w:u w:val="none"/>
                <w:lang w:val="en-US" w:eastAsia="zh-CN" w:bidi="ar"/>
              </w:rPr>
              <w:t xml:space="preserve">12662.43 </w:t>
            </w:r>
          </w:p>
        </w:tc>
      </w:tr>
    </w:tbl>
    <w:p w14:paraId="00B140A7">
      <w:pPr>
        <w:pStyle w:val="12"/>
        <w:ind w:left="0" w:leftChars="0" w:firstLine="0" w:firstLineChars="0"/>
        <w:jc w:val="center"/>
        <w:rPr>
          <w:rFonts w:hint="eastAsia" w:eastAsia="仿宋"/>
          <w:sz w:val="28"/>
          <w:szCs w:val="28"/>
          <w:lang w:val="en-US" w:eastAsia="zh-CN"/>
        </w:rPr>
        <w:sectPr>
          <w:pgSz w:w="16838" w:h="11906" w:orient="landscape"/>
          <w:pgMar w:top="720" w:right="720" w:bottom="720" w:left="720" w:header="851" w:footer="992" w:gutter="0"/>
          <w:pgNumType w:fmt="decimal"/>
          <w:cols w:space="720" w:num="1"/>
          <w:docGrid w:type="lines" w:linePitch="312" w:charSpace="0"/>
        </w:sectPr>
      </w:pPr>
    </w:p>
    <w:p w14:paraId="7C6578C7">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rPr>
      </w:pPr>
      <w:r>
        <w:rPr>
          <w:rFonts w:hint="eastAsia" w:ascii="仿宋" w:hAnsi="仿宋" w:eastAsia="仿宋"/>
          <w:b/>
          <w:bCs/>
          <w:color w:val="auto"/>
          <w:sz w:val="32"/>
          <w:szCs w:val="32"/>
        </w:rPr>
        <w:t>五、项目绩效目标</w:t>
      </w:r>
    </w:p>
    <w:p w14:paraId="7EDA88A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bookmarkStart w:id="53" w:name="_Toc22004_WPSOffice_Level2"/>
      <w:r>
        <w:rPr>
          <w:rFonts w:hint="eastAsia" w:ascii="仿宋" w:hAnsi="仿宋" w:eastAsia="仿宋" w:cs="仿宋"/>
          <w:sz w:val="32"/>
          <w:szCs w:val="32"/>
          <w:lang w:val="en-US" w:eastAsia="zh-CN"/>
        </w:rPr>
        <w:t>1.总体建设目标：</w:t>
      </w:r>
    </w:p>
    <w:p w14:paraId="5E257E0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目标1：建设1条长1200米、宽30米的跑道，1条垂直联络道，6个机位的停机坪；</w:t>
      </w:r>
    </w:p>
    <w:p w14:paraId="5D14310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目标2：3200平方米的机库，2000平方米的综合业务楼，以及空管、助航灯光、消防救援等配套设施。</w:t>
      </w:r>
    </w:p>
    <w:p w14:paraId="79E33A0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目标3：推进当地产业转型升级，顺应国家及四川通用航空事业发展大趋势，促进当地经济社会发展。</w:t>
      </w:r>
    </w:p>
    <w:p w14:paraId="0EBBBF6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目标4：债券存续期内实现年度收支平衡和总体收支平衡。</w:t>
      </w:r>
    </w:p>
    <w:p w14:paraId="4E1A8776">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1）产出指标</w:t>
      </w:r>
    </w:p>
    <w:p w14:paraId="0D2861D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①数量指标：</w:t>
      </w:r>
    </w:p>
    <w:p w14:paraId="3BCC89C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指标1：新建机场跑道长度-1200米</w:t>
      </w:r>
    </w:p>
    <w:p w14:paraId="03BC443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指标2：停机坪-6个机位</w:t>
      </w:r>
    </w:p>
    <w:p w14:paraId="3D835FF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指标3：机库</w:t>
      </w:r>
      <w:r>
        <w:rPr>
          <w:rFonts w:hint="eastAsia" w:ascii="仿宋" w:hAnsi="仿宋" w:eastAsia="仿宋" w:cs="仿宋"/>
          <w:sz w:val="32"/>
          <w:szCs w:val="32"/>
          <w:lang w:val="en-US" w:eastAsia="zh-CN"/>
        </w:rPr>
        <w:tab/>
      </w:r>
      <w:r>
        <w:rPr>
          <w:rFonts w:hint="eastAsia" w:ascii="仿宋" w:hAnsi="仿宋" w:eastAsia="仿宋" w:cs="仿宋"/>
          <w:sz w:val="32"/>
          <w:szCs w:val="32"/>
          <w:lang w:val="en-US" w:eastAsia="zh-CN"/>
        </w:rPr>
        <w:t>3200-平方米。</w:t>
      </w:r>
    </w:p>
    <w:p w14:paraId="1A6BCA0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②质量指标：</w:t>
      </w:r>
    </w:p>
    <w:p w14:paraId="22A2338A">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指标1：项目竣工验收达标率≥95%；</w:t>
      </w:r>
    </w:p>
    <w:p w14:paraId="6B0A7C0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指标2：项目设计方案变更率≤5%。</w:t>
      </w:r>
    </w:p>
    <w:p w14:paraId="43C9FC08">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③时效指标：</w:t>
      </w:r>
    </w:p>
    <w:p w14:paraId="2E68F16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指标1：工程按时开工-2025年09月。</w:t>
      </w:r>
    </w:p>
    <w:p w14:paraId="352EEEA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④预算执行指标：</w:t>
      </w:r>
    </w:p>
    <w:p w14:paraId="06F6AFBD">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指标1：债券资金实际支出-21204万元；</w:t>
      </w:r>
    </w:p>
    <w:p w14:paraId="6670192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指标2：业主单位资本金实际支出-7106万元。</w:t>
      </w:r>
    </w:p>
    <w:p w14:paraId="175BB03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2）效益指标</w:t>
      </w:r>
    </w:p>
    <w:p w14:paraId="48C7D755">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①经济效益指标：</w:t>
      </w:r>
    </w:p>
    <w:p w14:paraId="56631FBC">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指标1：项目总收入≥</w:t>
      </w:r>
      <w:r>
        <w:rPr>
          <w:rFonts w:hint="eastAsia" w:ascii="仿宋" w:hAnsi="仿宋" w:eastAsia="仿宋" w:cs="仿宋"/>
          <w:b w:val="0"/>
          <w:bCs/>
          <w:color w:val="auto"/>
          <w:sz w:val="32"/>
          <w:szCs w:val="32"/>
          <w:lang w:val="en-US" w:eastAsia="zh-CN"/>
        </w:rPr>
        <w:t>76453.2</w:t>
      </w:r>
      <w:r>
        <w:rPr>
          <w:rFonts w:hint="eastAsia" w:ascii="仿宋" w:hAnsi="仿宋" w:eastAsia="仿宋" w:cs="仿宋"/>
          <w:sz w:val="32"/>
          <w:szCs w:val="32"/>
          <w:lang w:val="en-US" w:eastAsia="zh-CN"/>
        </w:rPr>
        <w:t>万元；</w:t>
      </w:r>
    </w:p>
    <w:p w14:paraId="7BDD356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②社会效益指标：</w:t>
      </w:r>
    </w:p>
    <w:p w14:paraId="1B6D9C3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指标1：增加就业人数-达成预期目标</w:t>
      </w:r>
    </w:p>
    <w:p w14:paraId="3CBD783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指标2：满足当地生产生活需求-满足规划。</w:t>
      </w:r>
    </w:p>
    <w:p w14:paraId="14FC98E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③可持续影响指标：</w:t>
      </w:r>
    </w:p>
    <w:p w14:paraId="67B05BD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指标1：运营期限≧29年；</w:t>
      </w:r>
    </w:p>
    <w:p w14:paraId="2AF43AD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指标2：完善区域交通基础设施-达成预期目标。</w:t>
      </w:r>
    </w:p>
    <w:p w14:paraId="6063229F">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3）满意度指标</w:t>
      </w:r>
    </w:p>
    <w:p w14:paraId="474D92D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指标1：覆盖区域群众居住满意度≧90%。</w:t>
      </w:r>
    </w:p>
    <w:p w14:paraId="3FA308E2">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2.2025年绩效目标</w:t>
      </w:r>
    </w:p>
    <w:p w14:paraId="698EC1F3">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目标1：完成项目开工准备；</w:t>
      </w:r>
    </w:p>
    <w:p w14:paraId="08DE1A77">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目标2：建设1条长1200米、宽30米的跑道；</w:t>
      </w:r>
    </w:p>
    <w:p w14:paraId="61681D89">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目标3：1条垂直联络道，6个机位的停机坪</w:t>
      </w:r>
      <w:r>
        <w:rPr>
          <w:rFonts w:hint="eastAsia" w:ascii="仿宋" w:hAnsi="仿宋" w:eastAsia="仿宋" w:cs="仿宋"/>
          <w:sz w:val="32"/>
          <w:szCs w:val="32"/>
          <w:lang w:val="en-US" w:eastAsia="zh-CN"/>
        </w:rPr>
        <w:t>。</w:t>
      </w:r>
    </w:p>
    <w:bookmarkEnd w:id="53"/>
    <w:p w14:paraId="7A2641C8">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rPr>
      </w:pPr>
      <w:r>
        <w:rPr>
          <w:rFonts w:hint="eastAsia" w:ascii="仿宋" w:hAnsi="仿宋" w:eastAsia="仿宋"/>
          <w:b/>
          <w:bCs/>
          <w:color w:val="auto"/>
          <w:sz w:val="32"/>
          <w:szCs w:val="32"/>
        </w:rPr>
        <w:t>六、潜在影响项目的风险评估</w:t>
      </w:r>
    </w:p>
    <w:p w14:paraId="78A83045">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both"/>
        <w:textAlignment w:val="auto"/>
        <w:outlineLvl w:val="9"/>
        <w:rPr>
          <w:rFonts w:hint="eastAsia" w:ascii="仿宋" w:hAnsi="仿宋" w:eastAsia="仿宋" w:cs="仿宋"/>
          <w:sz w:val="32"/>
          <w:szCs w:val="32"/>
          <w:lang w:val="en-US" w:eastAsia="zh-CN"/>
        </w:rPr>
      </w:pPr>
      <w:bookmarkStart w:id="54" w:name="_Toc15343"/>
      <w:bookmarkStart w:id="55" w:name="_Toc522211123"/>
      <w:r>
        <w:rPr>
          <w:rFonts w:hint="eastAsia" w:ascii="仿宋" w:hAnsi="仿宋" w:eastAsia="仿宋" w:cs="仿宋"/>
          <w:sz w:val="32"/>
          <w:szCs w:val="32"/>
          <w:lang w:val="en-US" w:eastAsia="zh-CN"/>
        </w:rPr>
        <w:t>1.经营风险</w:t>
      </w:r>
      <w:bookmarkEnd w:id="54"/>
      <w:bookmarkEnd w:id="55"/>
    </w:p>
    <w:p w14:paraId="2E49518D">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风险识别：经营风险是指生产经营的不确定性带来的风险。若项目投入运营后的收入等未能达到预测值，将影响项目整体收益，对债券还本付息产生影响。</w:t>
      </w:r>
    </w:p>
    <w:p w14:paraId="4328BA7C">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风险控制措施：</w:t>
      </w:r>
      <w:bookmarkStart w:id="56" w:name="_Toc4440"/>
      <w:bookmarkStart w:id="57" w:name="_Toc522211124"/>
      <w:r>
        <w:rPr>
          <w:rFonts w:hint="eastAsia" w:ascii="仿宋" w:hAnsi="仿宋" w:eastAsia="仿宋" w:cs="仿宋"/>
          <w:sz w:val="32"/>
          <w:szCs w:val="32"/>
          <w:lang w:val="en-US" w:eastAsia="zh-CN"/>
        </w:rPr>
        <w:t>要求项目管理单位密切关注相关收费情况，根据实际收入等进行调整单价或政府补贴，保证还本付息资金。</w:t>
      </w:r>
    </w:p>
    <w:p w14:paraId="4A5992FD">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2.市场风险</w:t>
      </w:r>
      <w:bookmarkEnd w:id="56"/>
      <w:bookmarkEnd w:id="57"/>
    </w:p>
    <w:p w14:paraId="5A33F623">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14:paraId="2D9DDCA2">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风险控制措施：要求项目单位合理安排债券发行金额和债券期限，做好债券的期限配比、还款计划和资金准备。密切关注宏观经济市场，充分与市场机构沟通，选择合适的发行窗口，降低财务成本，保证项目收益与融资平衡。</w:t>
      </w:r>
    </w:p>
    <w:p w14:paraId="52718709">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both"/>
        <w:textAlignment w:val="auto"/>
        <w:outlineLvl w:val="9"/>
        <w:rPr>
          <w:rFonts w:hint="eastAsia" w:ascii="仿宋" w:hAnsi="仿宋" w:eastAsia="仿宋" w:cs="仿宋"/>
          <w:sz w:val="32"/>
          <w:szCs w:val="32"/>
          <w:lang w:val="en-US" w:eastAsia="zh-CN"/>
        </w:rPr>
      </w:pPr>
      <w:bookmarkStart w:id="58" w:name="_Toc522211125"/>
      <w:bookmarkStart w:id="59" w:name="_Toc15747"/>
      <w:r>
        <w:rPr>
          <w:rFonts w:hint="eastAsia" w:ascii="仿宋" w:hAnsi="仿宋" w:eastAsia="仿宋" w:cs="仿宋"/>
          <w:sz w:val="32"/>
          <w:szCs w:val="32"/>
          <w:lang w:val="en-US" w:eastAsia="zh-CN"/>
        </w:rPr>
        <w:t>3.财务风险</w:t>
      </w:r>
      <w:bookmarkEnd w:id="58"/>
      <w:bookmarkEnd w:id="59"/>
    </w:p>
    <w:p w14:paraId="2C895571">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14:paraId="5B165519">
      <w:pPr>
        <w:keepNext w:val="0"/>
        <w:keepLines w:val="0"/>
        <w:pageBreakBefore w:val="0"/>
        <w:widowControl w:val="0"/>
        <w:kinsoku/>
        <w:wordWrap/>
        <w:overflowPunct/>
        <w:topLinePunct w:val="0"/>
        <w:autoSpaceDE/>
        <w:autoSpaceDN/>
        <w:bidi w:val="0"/>
        <w:adjustRightInd/>
        <w:snapToGrid w:val="0"/>
        <w:spacing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风险控制措施：项目可行性研究报告编制过程中，在测算项目总投资时已考虑相关风险。同时，在项目建设过程中，加强项目施工预算管理、招标及合同管理，尽可能控制建设成本。</w:t>
      </w:r>
    </w:p>
    <w:p w14:paraId="0147DAA3">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rPr>
      </w:pPr>
      <w:r>
        <w:rPr>
          <w:rFonts w:hint="eastAsia" w:ascii="仿宋" w:hAnsi="仿宋" w:eastAsia="仿宋"/>
          <w:b/>
          <w:bCs/>
          <w:color w:val="auto"/>
          <w:sz w:val="32"/>
          <w:szCs w:val="32"/>
        </w:rPr>
        <w:t>七、还款保障情况</w:t>
      </w:r>
    </w:p>
    <w:p w14:paraId="3F408B47">
      <w:pPr>
        <w:keepNext w:val="0"/>
        <w:keepLines w:val="0"/>
        <w:pageBreakBefore w:val="0"/>
        <w:widowControl w:val="0"/>
        <w:kinsoku/>
        <w:wordWrap/>
        <w:overflowPunct/>
        <w:topLinePunct w:val="0"/>
        <w:autoSpaceDE/>
        <w:autoSpaceDN/>
        <w:bidi w:val="0"/>
        <w:adjustRightInd/>
        <w:snapToGrid w:val="0"/>
        <w:spacing w:line="360" w:lineRule="auto"/>
        <w:ind w:firstLine="64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若调整的专项债券期限与项目期限不匹配，将通过已形成的项目收益、本级财政调度资金等方式及时偿还到期专项债券本息。</w:t>
      </w:r>
    </w:p>
    <w:p w14:paraId="436C902B">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rPr>
      </w:pPr>
      <w:r>
        <w:rPr>
          <w:rFonts w:hint="eastAsia" w:ascii="仿宋" w:hAnsi="仿宋" w:eastAsia="仿宋"/>
          <w:b/>
          <w:bCs/>
          <w:color w:val="auto"/>
          <w:sz w:val="32"/>
          <w:szCs w:val="32"/>
        </w:rPr>
        <w:t>八、主管部门和项目单位职责</w:t>
      </w:r>
    </w:p>
    <w:p w14:paraId="07A4D9E8">
      <w:pPr>
        <w:keepNext w:val="0"/>
        <w:keepLines w:val="0"/>
        <w:pageBreakBefore w:val="0"/>
        <w:widowControl w:val="0"/>
        <w:kinsoku/>
        <w:wordWrap/>
        <w:overflowPunct/>
        <w:topLinePunct w:val="0"/>
        <w:autoSpaceDE/>
        <w:autoSpaceDN/>
        <w:bidi w:val="0"/>
        <w:adjustRightInd/>
        <w:snapToGrid w:val="0"/>
        <w:spacing w:beforeLines="50" w:afterLines="50" w:line="360" w:lineRule="auto"/>
        <w:ind w:firstLine="640" w:firstLineChars="200"/>
        <w:jc w:val="both"/>
        <w:textAlignment w:val="auto"/>
        <w:outlineLvl w:val="9"/>
        <w:rPr>
          <w:rFonts w:hint="eastAsia" w:ascii="仿宋" w:hAnsi="仿宋" w:eastAsia="仿宋" w:cs="仿宋"/>
          <w:b w:val="0"/>
          <w:bCs w:val="0"/>
          <w:sz w:val="32"/>
          <w:szCs w:val="32"/>
          <w:u w:val="none"/>
          <w:lang w:val="en-US" w:eastAsia="zh-CN"/>
        </w:rPr>
      </w:pPr>
      <w:r>
        <w:rPr>
          <w:rFonts w:hint="eastAsia" w:ascii="仿宋" w:hAnsi="仿宋" w:eastAsia="仿宋" w:cs="仿宋"/>
          <w:b w:val="0"/>
          <w:bCs w:val="0"/>
          <w:sz w:val="32"/>
          <w:szCs w:val="32"/>
          <w:u w:val="none"/>
          <w:lang w:val="en-US" w:eastAsia="zh-CN"/>
        </w:rPr>
        <w:t>1. 项目主管部门：洪雅县发展和改革局</w:t>
      </w:r>
    </w:p>
    <w:p w14:paraId="0990833D">
      <w:pPr>
        <w:keepNext w:val="0"/>
        <w:keepLines w:val="0"/>
        <w:pageBreakBefore w:val="0"/>
        <w:widowControl w:val="0"/>
        <w:kinsoku/>
        <w:wordWrap/>
        <w:overflowPunct/>
        <w:topLinePunct w:val="0"/>
        <w:autoSpaceDE/>
        <w:autoSpaceDN/>
        <w:bidi w:val="0"/>
        <w:adjustRightInd/>
        <w:snapToGrid w:val="0"/>
        <w:spacing w:beforeLines="50" w:afterLines="50" w:line="360" w:lineRule="auto"/>
        <w:ind w:firstLine="640" w:firstLineChars="200"/>
        <w:jc w:val="both"/>
        <w:textAlignment w:val="auto"/>
        <w:outlineLvl w:val="9"/>
        <w:rPr>
          <w:rFonts w:hint="eastAsia" w:ascii="仿宋" w:hAnsi="仿宋" w:eastAsia="仿宋" w:cs="仿宋"/>
          <w:b w:val="0"/>
          <w:bCs w:val="0"/>
          <w:sz w:val="32"/>
          <w:szCs w:val="32"/>
          <w:u w:val="none"/>
          <w:lang w:val="en-US" w:eastAsia="zh-CN"/>
        </w:rPr>
      </w:pPr>
      <w:r>
        <w:rPr>
          <w:rFonts w:hint="eastAsia" w:ascii="仿宋" w:hAnsi="仿宋" w:eastAsia="仿宋" w:cs="仿宋"/>
          <w:b w:val="0"/>
          <w:bCs w:val="0"/>
          <w:sz w:val="32"/>
          <w:szCs w:val="32"/>
          <w:u w:val="none"/>
          <w:lang w:val="en-US" w:eastAsia="zh-CN"/>
        </w:rPr>
        <w:t>主要职责包括：严格按照基本建设程序建设项目，监督施工方严格按照施工规范施工，确保项目施工安全、项目建设质量、项目工期，切实加强项目建设、运营管理，确保项目收益覆盖债券本息。</w:t>
      </w:r>
    </w:p>
    <w:p w14:paraId="0EBD7B5B">
      <w:pPr>
        <w:keepNext w:val="0"/>
        <w:keepLines w:val="0"/>
        <w:pageBreakBefore w:val="0"/>
        <w:widowControl w:val="0"/>
        <w:kinsoku/>
        <w:wordWrap/>
        <w:overflowPunct/>
        <w:topLinePunct w:val="0"/>
        <w:autoSpaceDE/>
        <w:autoSpaceDN/>
        <w:bidi w:val="0"/>
        <w:adjustRightInd/>
        <w:snapToGrid w:val="0"/>
        <w:spacing w:beforeLines="50" w:afterLines="50" w:line="360" w:lineRule="auto"/>
        <w:ind w:firstLine="640" w:firstLineChars="200"/>
        <w:jc w:val="both"/>
        <w:textAlignment w:val="auto"/>
        <w:outlineLvl w:val="9"/>
        <w:rPr>
          <w:rFonts w:hint="default" w:ascii="仿宋" w:hAnsi="仿宋" w:eastAsia="仿宋" w:cs="仿宋"/>
          <w:b w:val="0"/>
          <w:bCs w:val="0"/>
          <w:sz w:val="32"/>
          <w:szCs w:val="32"/>
          <w:u w:val="none"/>
          <w:lang w:val="en-US" w:eastAsia="zh-CN"/>
        </w:rPr>
      </w:pPr>
      <w:r>
        <w:rPr>
          <w:rFonts w:hint="eastAsia" w:ascii="仿宋" w:hAnsi="仿宋" w:eastAsia="仿宋" w:cs="仿宋"/>
          <w:b w:val="0"/>
          <w:bCs w:val="0"/>
          <w:sz w:val="32"/>
          <w:szCs w:val="32"/>
          <w:u w:val="none"/>
          <w:lang w:val="en-US" w:eastAsia="zh-CN"/>
        </w:rPr>
        <w:t>2.项目资金主管部门：洪雅县财政局</w:t>
      </w:r>
    </w:p>
    <w:p w14:paraId="46A881C8">
      <w:pPr>
        <w:keepNext w:val="0"/>
        <w:keepLines w:val="0"/>
        <w:pageBreakBefore w:val="0"/>
        <w:widowControl w:val="0"/>
        <w:kinsoku/>
        <w:wordWrap/>
        <w:overflowPunct/>
        <w:topLinePunct w:val="0"/>
        <w:autoSpaceDE/>
        <w:autoSpaceDN/>
        <w:bidi w:val="0"/>
        <w:adjustRightInd/>
        <w:snapToGrid w:val="0"/>
        <w:spacing w:beforeLines="50" w:afterLines="50" w:line="360" w:lineRule="auto"/>
        <w:ind w:firstLine="640" w:firstLineChars="200"/>
        <w:jc w:val="both"/>
        <w:textAlignment w:val="auto"/>
        <w:outlineLvl w:val="9"/>
        <w:rPr>
          <w:rFonts w:hint="eastAsia" w:ascii="仿宋" w:hAnsi="仿宋" w:eastAsia="仿宋" w:cs="仿宋"/>
          <w:b w:val="0"/>
          <w:bCs w:val="0"/>
          <w:sz w:val="32"/>
          <w:szCs w:val="32"/>
          <w:u w:val="none"/>
          <w:lang w:val="en-US" w:eastAsia="zh-CN"/>
        </w:rPr>
      </w:pPr>
      <w:r>
        <w:rPr>
          <w:rFonts w:hint="eastAsia" w:ascii="仿宋" w:hAnsi="仿宋" w:eastAsia="仿宋" w:cs="仿宋"/>
          <w:b w:val="0"/>
          <w:bCs w:val="0"/>
          <w:sz w:val="32"/>
          <w:szCs w:val="32"/>
          <w:u w:val="none"/>
          <w:lang w:val="en-US" w:eastAsia="zh-CN"/>
        </w:rPr>
        <w:t>主要职责包括：（1）配合落实项目配套财政资金、专项债券资金；（2）监督项目资金的实际使用情况及对本期债券本息的按期偿付情况。</w:t>
      </w:r>
    </w:p>
    <w:p w14:paraId="73EF6D9C">
      <w:pPr>
        <w:keepNext w:val="0"/>
        <w:keepLines w:val="0"/>
        <w:pageBreakBefore w:val="0"/>
        <w:widowControl w:val="0"/>
        <w:kinsoku/>
        <w:wordWrap/>
        <w:overflowPunct/>
        <w:topLinePunct w:val="0"/>
        <w:autoSpaceDE/>
        <w:autoSpaceDN/>
        <w:bidi w:val="0"/>
        <w:adjustRightInd/>
        <w:snapToGrid w:val="0"/>
        <w:spacing w:beforeLines="50" w:afterLines="50" w:line="360" w:lineRule="auto"/>
        <w:ind w:firstLine="640" w:firstLineChars="200"/>
        <w:jc w:val="both"/>
        <w:textAlignment w:val="auto"/>
        <w:outlineLvl w:val="9"/>
        <w:rPr>
          <w:rFonts w:hint="eastAsia" w:ascii="仿宋" w:hAnsi="仿宋" w:eastAsia="仿宋" w:cs="仿宋"/>
          <w:b w:val="0"/>
          <w:bCs w:val="0"/>
          <w:sz w:val="32"/>
          <w:szCs w:val="32"/>
          <w:u w:val="none"/>
          <w:lang w:val="en-US" w:eastAsia="zh-CN"/>
        </w:rPr>
      </w:pPr>
      <w:r>
        <w:rPr>
          <w:rFonts w:hint="eastAsia" w:ascii="仿宋" w:hAnsi="仿宋" w:eastAsia="仿宋" w:cs="仿宋"/>
          <w:b w:val="0"/>
          <w:bCs w:val="0"/>
          <w:sz w:val="32"/>
          <w:szCs w:val="32"/>
          <w:u w:val="none"/>
          <w:lang w:val="en-US" w:eastAsia="zh-CN"/>
        </w:rPr>
        <w:t>3.项目业主单位：四川洪雅云上瓦屋通用机场有限公司</w:t>
      </w:r>
    </w:p>
    <w:p w14:paraId="6B7C9A0E">
      <w:pPr>
        <w:keepNext w:val="0"/>
        <w:keepLines w:val="0"/>
        <w:pageBreakBefore w:val="0"/>
        <w:widowControl w:val="0"/>
        <w:kinsoku/>
        <w:wordWrap/>
        <w:overflowPunct/>
        <w:topLinePunct w:val="0"/>
        <w:autoSpaceDE/>
        <w:autoSpaceDN/>
        <w:bidi w:val="0"/>
        <w:adjustRightInd/>
        <w:snapToGrid w:val="0"/>
        <w:spacing w:beforeLines="50" w:afterLines="50" w:line="360" w:lineRule="auto"/>
        <w:ind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b w:val="0"/>
          <w:bCs w:val="0"/>
          <w:sz w:val="32"/>
          <w:szCs w:val="32"/>
          <w:u w:val="none"/>
          <w:lang w:val="en-US" w:eastAsia="zh-CN"/>
        </w:rPr>
        <w:t>主要职责包括：（1）根据项目实施计划开展相关工作;（2）保证项目资金的使用与项目实施进度相匹配;（3）定期向行业主管部门、实施机构及项目资金主管部门汇报项目实施进度及项目资金使用情况</w:t>
      </w:r>
      <w:r>
        <w:rPr>
          <w:rFonts w:hint="default" w:ascii="仿宋" w:hAnsi="仿宋" w:eastAsia="仿宋" w:cs="仿宋"/>
          <w:sz w:val="32"/>
          <w:szCs w:val="32"/>
          <w:lang w:val="en-US" w:eastAsia="zh-CN"/>
        </w:rPr>
        <w:t>。</w:t>
      </w:r>
    </w:p>
    <w:p w14:paraId="13A083B4">
      <w:pPr>
        <w:pageBreakBefore w:val="0"/>
        <w:numPr>
          <w:ilvl w:val="0"/>
          <w:numId w:val="0"/>
        </w:numPr>
        <w:kinsoku/>
        <w:wordWrap/>
        <w:overflowPunct/>
        <w:topLinePunct w:val="0"/>
        <w:autoSpaceDE/>
        <w:autoSpaceDN/>
        <w:bidi w:val="0"/>
        <w:adjustRightInd/>
        <w:snapToGrid/>
        <w:spacing w:beforeAutospacing="0" w:line="360" w:lineRule="auto"/>
        <w:ind w:leftChars="200" w:right="0" w:rightChars="0"/>
        <w:jc w:val="both"/>
        <w:outlineLvl w:val="0"/>
        <w:rPr>
          <w:rFonts w:hint="eastAsia" w:ascii="仿宋" w:hAnsi="仿宋" w:eastAsia="仿宋"/>
          <w:b/>
          <w:bCs/>
          <w:color w:val="auto"/>
          <w:sz w:val="32"/>
          <w:szCs w:val="32"/>
        </w:rPr>
      </w:pPr>
      <w:r>
        <w:rPr>
          <w:rFonts w:hint="eastAsia" w:ascii="仿宋" w:hAnsi="仿宋" w:eastAsia="仿宋"/>
          <w:b/>
          <w:bCs/>
          <w:color w:val="auto"/>
          <w:sz w:val="32"/>
          <w:szCs w:val="32"/>
        </w:rPr>
        <w:t>九</w:t>
      </w:r>
      <w:r>
        <w:rPr>
          <w:rFonts w:hint="eastAsia" w:ascii="仿宋" w:hAnsi="仿宋" w:eastAsia="仿宋"/>
          <w:b/>
          <w:bCs/>
          <w:color w:val="auto"/>
          <w:sz w:val="32"/>
          <w:szCs w:val="32"/>
          <w:lang w:eastAsia="zh-CN"/>
        </w:rPr>
        <w:t>、</w:t>
      </w:r>
      <w:r>
        <w:rPr>
          <w:rFonts w:hint="eastAsia" w:ascii="仿宋" w:hAnsi="仿宋" w:eastAsia="仿宋"/>
          <w:b/>
          <w:bCs/>
          <w:color w:val="auto"/>
          <w:sz w:val="32"/>
          <w:szCs w:val="32"/>
        </w:rPr>
        <w:t>补充说明</w:t>
      </w:r>
    </w:p>
    <w:p w14:paraId="438444DA">
      <w:pPr>
        <w:spacing w:line="560" w:lineRule="exact"/>
        <w:ind w:firstLine="632" w:firstLineChars="200"/>
        <w:rPr>
          <w:rFonts w:hint="eastAsia" w:ascii="仿宋_GB2312" w:hAnsi="仿宋_GB2312" w:eastAsia="仿宋_GB2312"/>
          <w:b w:val="0"/>
          <w:bCs w:val="0"/>
          <w:color w:val="auto"/>
          <w:w w:val="99"/>
          <w:sz w:val="32"/>
          <w:szCs w:val="32"/>
          <w:highlight w:val="none"/>
          <w:lang w:eastAsia="zh-CN"/>
        </w:rPr>
      </w:pPr>
      <w:r>
        <w:rPr>
          <w:rFonts w:hint="eastAsia" w:ascii="仿宋_GB2312" w:hAnsi="仿宋_GB2312" w:eastAsia="仿宋_GB2312"/>
          <w:b w:val="0"/>
          <w:bCs w:val="0"/>
          <w:color w:val="auto"/>
          <w:w w:val="99"/>
          <w:sz w:val="32"/>
          <w:szCs w:val="32"/>
          <w:highlight w:val="none"/>
        </w:rPr>
        <w:t>此项目债券资金总需求21204万元，根据地方政府债务限额管理要求和项目实施进展情况，</w:t>
      </w:r>
      <w:r>
        <w:rPr>
          <w:rFonts w:hint="eastAsia" w:ascii="仿宋_GB2312" w:hAnsi="仿宋_GB2312" w:eastAsia="仿宋_GB2312"/>
          <w:b w:val="0"/>
          <w:bCs w:val="0"/>
          <w:color w:val="auto"/>
          <w:w w:val="99"/>
          <w:sz w:val="32"/>
          <w:szCs w:val="32"/>
          <w:highlight w:val="none"/>
          <w:lang w:val="en-US" w:eastAsia="zh-CN"/>
        </w:rPr>
        <w:t>2025</w:t>
      </w:r>
      <w:r>
        <w:rPr>
          <w:rFonts w:hint="eastAsia" w:ascii="仿宋_GB2312" w:hAnsi="仿宋_GB2312" w:eastAsia="仿宋_GB2312"/>
          <w:b w:val="0"/>
          <w:bCs w:val="0"/>
          <w:color w:val="auto"/>
          <w:w w:val="99"/>
          <w:sz w:val="32"/>
          <w:szCs w:val="32"/>
          <w:highlight w:val="none"/>
        </w:rPr>
        <w:t>年已发行</w:t>
      </w:r>
      <w:r>
        <w:rPr>
          <w:rFonts w:hint="eastAsia" w:ascii="仿宋_GB2312" w:hAnsi="仿宋_GB2312" w:eastAsia="仿宋_GB2312"/>
          <w:b w:val="0"/>
          <w:bCs w:val="0"/>
          <w:color w:val="auto"/>
          <w:w w:val="99"/>
          <w:sz w:val="32"/>
          <w:szCs w:val="32"/>
          <w:highlight w:val="none"/>
          <w:lang w:val="en-US" w:eastAsia="zh-CN"/>
        </w:rPr>
        <w:t>4800</w:t>
      </w:r>
      <w:r>
        <w:rPr>
          <w:rFonts w:hint="eastAsia" w:ascii="仿宋_GB2312" w:hAnsi="仿宋_GB2312" w:eastAsia="仿宋_GB2312"/>
          <w:b w:val="0"/>
          <w:bCs w:val="0"/>
          <w:color w:val="auto"/>
          <w:w w:val="99"/>
          <w:sz w:val="32"/>
          <w:szCs w:val="32"/>
          <w:highlight w:val="none"/>
        </w:rPr>
        <w:t>万元。本次拟继续发行</w:t>
      </w:r>
      <w:r>
        <w:rPr>
          <w:rFonts w:hint="eastAsia" w:ascii="仿宋_GB2312" w:hAnsi="仿宋_GB2312" w:eastAsia="仿宋_GB2312"/>
          <w:b w:val="0"/>
          <w:bCs w:val="0"/>
          <w:color w:val="auto"/>
          <w:w w:val="99"/>
          <w:sz w:val="32"/>
          <w:szCs w:val="32"/>
          <w:highlight w:val="none"/>
          <w:lang w:val="en-US" w:eastAsia="zh-CN"/>
        </w:rPr>
        <w:t>6000</w:t>
      </w:r>
      <w:r>
        <w:rPr>
          <w:rFonts w:hint="eastAsia" w:ascii="仿宋_GB2312" w:hAnsi="仿宋_GB2312" w:eastAsia="仿宋_GB2312"/>
          <w:b w:val="0"/>
          <w:bCs w:val="0"/>
          <w:color w:val="auto"/>
          <w:w w:val="99"/>
          <w:sz w:val="32"/>
          <w:szCs w:val="32"/>
          <w:highlight w:val="none"/>
        </w:rPr>
        <w:t>万元，期限</w:t>
      </w:r>
      <w:r>
        <w:rPr>
          <w:rFonts w:hint="eastAsia" w:ascii="仿宋_GB2312" w:hAnsi="仿宋_GB2312" w:eastAsia="仿宋_GB2312"/>
          <w:b w:val="0"/>
          <w:bCs w:val="0"/>
          <w:color w:val="auto"/>
          <w:w w:val="99"/>
          <w:sz w:val="32"/>
          <w:szCs w:val="32"/>
          <w:highlight w:val="none"/>
          <w:lang w:val="en-US" w:eastAsia="zh-CN"/>
        </w:rPr>
        <w:t>30</w:t>
      </w:r>
      <w:r>
        <w:rPr>
          <w:rFonts w:hint="eastAsia" w:ascii="仿宋_GB2312" w:hAnsi="仿宋_GB2312" w:eastAsia="仿宋_GB2312"/>
          <w:b w:val="0"/>
          <w:bCs w:val="0"/>
          <w:color w:val="auto"/>
          <w:w w:val="99"/>
          <w:sz w:val="32"/>
          <w:szCs w:val="32"/>
          <w:highlight w:val="none"/>
        </w:rPr>
        <w:t>年。该项目实施内容及收益来源未发生变动，在不超过项目债券总需求情况下，债券分批次跨年发行对项目整体融资平衡不构成实质影响</w:t>
      </w:r>
      <w:r>
        <w:rPr>
          <w:rFonts w:hint="eastAsia" w:ascii="仿宋_GB2312" w:hAnsi="仿宋_GB2312" w:eastAsia="仿宋_GB2312"/>
          <w:b w:val="0"/>
          <w:bCs w:val="0"/>
          <w:color w:val="auto"/>
          <w:w w:val="99"/>
          <w:sz w:val="32"/>
          <w:szCs w:val="32"/>
          <w:highlight w:val="none"/>
          <w:lang w:eastAsia="zh-CN"/>
        </w:rPr>
        <w:t>。</w:t>
      </w:r>
      <w:bookmarkStart w:id="60" w:name="_GoBack"/>
      <w:bookmarkEnd w:id="60"/>
    </w:p>
    <w:p w14:paraId="0599A5EB">
      <w:pPr>
        <w:pStyle w:val="12"/>
        <w:keepNext w:val="0"/>
        <w:keepLines w:val="0"/>
        <w:pageBreakBefore w:val="0"/>
        <w:widowControl w:val="0"/>
        <w:kinsoku/>
        <w:wordWrap/>
        <w:overflowPunct/>
        <w:topLinePunct w:val="0"/>
        <w:autoSpaceDE/>
        <w:autoSpaceDN/>
        <w:bidi w:val="0"/>
        <w:adjustRightInd/>
        <w:snapToGrid w:val="0"/>
        <w:spacing w:after="0" w:line="360" w:lineRule="auto"/>
        <w:ind w:left="0" w:leftChars="0" w:firstLine="420" w:firstLineChars="200"/>
        <w:textAlignment w:val="auto"/>
        <w:rPr>
          <w:rFonts w:hint="default" w:eastAsia="宋体"/>
          <w:lang w:val="en-US" w:eastAsia="zh-CN"/>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CC"/>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altName w:val="宋体"/>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8D3A3">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3F6FC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83F6FC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AA686">
    <w:pPr>
      <w:pStyle w:val="9"/>
      <w:pBdr>
        <w:bottom w:val="none" w:color="auto" w:sz="0" w:space="1"/>
      </w:pBdr>
    </w:pPr>
  </w:p>
  <w:p w14:paraId="27657383">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9AD43B"/>
    <w:multiLevelType w:val="singleLevel"/>
    <w:tmpl w:val="669AD43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NjE3YzhmNjY0MzIzYTI4ZjJiMTk4NTc3NjI1MjUifQ=="/>
  </w:docVars>
  <w:rsids>
    <w:rsidRoot w:val="48D86938"/>
    <w:rsid w:val="00420598"/>
    <w:rsid w:val="02C01BEA"/>
    <w:rsid w:val="03211E2F"/>
    <w:rsid w:val="04331E06"/>
    <w:rsid w:val="0458615D"/>
    <w:rsid w:val="0508651B"/>
    <w:rsid w:val="065F2511"/>
    <w:rsid w:val="07367AC5"/>
    <w:rsid w:val="074A7253"/>
    <w:rsid w:val="07E00DAD"/>
    <w:rsid w:val="07FF711B"/>
    <w:rsid w:val="0ABC6649"/>
    <w:rsid w:val="0B9710C8"/>
    <w:rsid w:val="0C050820"/>
    <w:rsid w:val="0C28576D"/>
    <w:rsid w:val="0C8840EC"/>
    <w:rsid w:val="0C9F71DB"/>
    <w:rsid w:val="0CF310B2"/>
    <w:rsid w:val="0E636419"/>
    <w:rsid w:val="0E9F5D49"/>
    <w:rsid w:val="10AD361E"/>
    <w:rsid w:val="10C67AB8"/>
    <w:rsid w:val="14000243"/>
    <w:rsid w:val="142F3A0C"/>
    <w:rsid w:val="143C5CE9"/>
    <w:rsid w:val="14537D9F"/>
    <w:rsid w:val="149E359F"/>
    <w:rsid w:val="14BE72F1"/>
    <w:rsid w:val="14F21B11"/>
    <w:rsid w:val="16273273"/>
    <w:rsid w:val="16C373AC"/>
    <w:rsid w:val="17045D7E"/>
    <w:rsid w:val="174B3736"/>
    <w:rsid w:val="17794E9A"/>
    <w:rsid w:val="17C957B1"/>
    <w:rsid w:val="181C5627"/>
    <w:rsid w:val="18F37790"/>
    <w:rsid w:val="1AEB2BCB"/>
    <w:rsid w:val="1B655074"/>
    <w:rsid w:val="1C3168BB"/>
    <w:rsid w:val="1D447F7C"/>
    <w:rsid w:val="1F813244"/>
    <w:rsid w:val="20015D2E"/>
    <w:rsid w:val="20362411"/>
    <w:rsid w:val="20494647"/>
    <w:rsid w:val="20882AE2"/>
    <w:rsid w:val="20E316E1"/>
    <w:rsid w:val="20F11B4B"/>
    <w:rsid w:val="21012DB7"/>
    <w:rsid w:val="21883F0B"/>
    <w:rsid w:val="2191122E"/>
    <w:rsid w:val="22580D98"/>
    <w:rsid w:val="226749C5"/>
    <w:rsid w:val="22C5630B"/>
    <w:rsid w:val="242B1DFE"/>
    <w:rsid w:val="252429C2"/>
    <w:rsid w:val="25E97500"/>
    <w:rsid w:val="267C63A9"/>
    <w:rsid w:val="27B063AD"/>
    <w:rsid w:val="27B277B4"/>
    <w:rsid w:val="28D9664C"/>
    <w:rsid w:val="28EA4015"/>
    <w:rsid w:val="29EA2A61"/>
    <w:rsid w:val="2A83359C"/>
    <w:rsid w:val="2ACF56D1"/>
    <w:rsid w:val="2AE3617C"/>
    <w:rsid w:val="2B287437"/>
    <w:rsid w:val="2BEC4EBD"/>
    <w:rsid w:val="2BF70423"/>
    <w:rsid w:val="2CB30B5F"/>
    <w:rsid w:val="2CF81A8F"/>
    <w:rsid w:val="307E6B40"/>
    <w:rsid w:val="308B2FE5"/>
    <w:rsid w:val="30A10848"/>
    <w:rsid w:val="31D3603B"/>
    <w:rsid w:val="32927CCD"/>
    <w:rsid w:val="32C24A76"/>
    <w:rsid w:val="33221A86"/>
    <w:rsid w:val="33714496"/>
    <w:rsid w:val="33AA0A59"/>
    <w:rsid w:val="34C31017"/>
    <w:rsid w:val="35AB4A69"/>
    <w:rsid w:val="389B5F04"/>
    <w:rsid w:val="3C066EF4"/>
    <w:rsid w:val="3CF4354C"/>
    <w:rsid w:val="3D774A5E"/>
    <w:rsid w:val="3D845780"/>
    <w:rsid w:val="3E183E08"/>
    <w:rsid w:val="3E614CC6"/>
    <w:rsid w:val="3EE40DF5"/>
    <w:rsid w:val="3F027373"/>
    <w:rsid w:val="3F30796D"/>
    <w:rsid w:val="3FCD59F0"/>
    <w:rsid w:val="41763C09"/>
    <w:rsid w:val="41784F1A"/>
    <w:rsid w:val="419826B8"/>
    <w:rsid w:val="435B4E62"/>
    <w:rsid w:val="43D0094B"/>
    <w:rsid w:val="44717283"/>
    <w:rsid w:val="447A0DE1"/>
    <w:rsid w:val="447C299F"/>
    <w:rsid w:val="44831B58"/>
    <w:rsid w:val="45322949"/>
    <w:rsid w:val="453612E4"/>
    <w:rsid w:val="457D7FA4"/>
    <w:rsid w:val="459845A2"/>
    <w:rsid w:val="463013DA"/>
    <w:rsid w:val="46430415"/>
    <w:rsid w:val="46FC37FB"/>
    <w:rsid w:val="47DC4947"/>
    <w:rsid w:val="487E6CB0"/>
    <w:rsid w:val="48D86938"/>
    <w:rsid w:val="492D4146"/>
    <w:rsid w:val="49B9783E"/>
    <w:rsid w:val="4A8A7C24"/>
    <w:rsid w:val="4BB12EC9"/>
    <w:rsid w:val="4C2C03C5"/>
    <w:rsid w:val="4C6805C4"/>
    <w:rsid w:val="4D5452D4"/>
    <w:rsid w:val="4DEB5836"/>
    <w:rsid w:val="50892D33"/>
    <w:rsid w:val="51434005"/>
    <w:rsid w:val="51577184"/>
    <w:rsid w:val="52DF6E63"/>
    <w:rsid w:val="54EE5EC9"/>
    <w:rsid w:val="55BD1873"/>
    <w:rsid w:val="55E346F9"/>
    <w:rsid w:val="57704141"/>
    <w:rsid w:val="57D77DF3"/>
    <w:rsid w:val="58B113F0"/>
    <w:rsid w:val="5931338F"/>
    <w:rsid w:val="593135F3"/>
    <w:rsid w:val="5935490D"/>
    <w:rsid w:val="599A5D1A"/>
    <w:rsid w:val="5AA165B5"/>
    <w:rsid w:val="5B326D82"/>
    <w:rsid w:val="5C4A7489"/>
    <w:rsid w:val="5CA36E02"/>
    <w:rsid w:val="5DB87EAF"/>
    <w:rsid w:val="5EFF5AAC"/>
    <w:rsid w:val="609303C9"/>
    <w:rsid w:val="611D655C"/>
    <w:rsid w:val="62690F0D"/>
    <w:rsid w:val="626C39CB"/>
    <w:rsid w:val="63B65809"/>
    <w:rsid w:val="63EB07B5"/>
    <w:rsid w:val="66222E0C"/>
    <w:rsid w:val="66441FBE"/>
    <w:rsid w:val="668A1EEA"/>
    <w:rsid w:val="66E24808"/>
    <w:rsid w:val="687D425F"/>
    <w:rsid w:val="6A1A7C8F"/>
    <w:rsid w:val="6B8F438D"/>
    <w:rsid w:val="6C2378EC"/>
    <w:rsid w:val="6C307222"/>
    <w:rsid w:val="6DDB126D"/>
    <w:rsid w:val="6DEA4C9E"/>
    <w:rsid w:val="6EB35A2C"/>
    <w:rsid w:val="6ED13AB0"/>
    <w:rsid w:val="70547C0E"/>
    <w:rsid w:val="70570603"/>
    <w:rsid w:val="70D25977"/>
    <w:rsid w:val="71816A39"/>
    <w:rsid w:val="72403EAB"/>
    <w:rsid w:val="724333A2"/>
    <w:rsid w:val="73572443"/>
    <w:rsid w:val="739437C0"/>
    <w:rsid w:val="73AB1F81"/>
    <w:rsid w:val="73C619CE"/>
    <w:rsid w:val="746E217E"/>
    <w:rsid w:val="74BF5585"/>
    <w:rsid w:val="75022A58"/>
    <w:rsid w:val="76130E08"/>
    <w:rsid w:val="767A7AC9"/>
    <w:rsid w:val="76EB4CB7"/>
    <w:rsid w:val="77B25D4B"/>
    <w:rsid w:val="78413722"/>
    <w:rsid w:val="792475D8"/>
    <w:rsid w:val="792E7798"/>
    <w:rsid w:val="79371441"/>
    <w:rsid w:val="798735BD"/>
    <w:rsid w:val="79A51F73"/>
    <w:rsid w:val="7A13703A"/>
    <w:rsid w:val="7A323F95"/>
    <w:rsid w:val="7A5E34C4"/>
    <w:rsid w:val="7B360CB0"/>
    <w:rsid w:val="7B8B136B"/>
    <w:rsid w:val="7BCF0E93"/>
    <w:rsid w:val="7BDE7397"/>
    <w:rsid w:val="7C02759D"/>
    <w:rsid w:val="7C1A27EF"/>
    <w:rsid w:val="7C565B43"/>
    <w:rsid w:val="7D546E9B"/>
    <w:rsid w:val="7E6C267F"/>
    <w:rsid w:val="7F362C6D"/>
    <w:rsid w:val="7FB57784"/>
    <w:rsid w:val="7FC10B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autoRedefine/>
    <w:unhideWhenUsed/>
    <w:qFormat/>
    <w:uiPriority w:val="9"/>
    <w:pPr>
      <w:keepNext/>
      <w:keepLines/>
      <w:spacing w:before="260" w:after="260" w:line="416" w:lineRule="auto"/>
      <w:outlineLvl w:val="2"/>
    </w:pPr>
    <w:rPr>
      <w:b/>
      <w:bCs/>
      <w:sz w:val="32"/>
      <w:szCs w:val="32"/>
    </w:rPr>
  </w:style>
  <w:style w:type="paragraph" w:styleId="3">
    <w:name w:val="heading 4"/>
    <w:basedOn w:val="1"/>
    <w:next w:val="1"/>
    <w:autoRedefine/>
    <w:qFormat/>
    <w:uiPriority w:val="0"/>
    <w:pPr>
      <w:keepNext/>
      <w:keepLines/>
      <w:spacing w:before="280" w:after="290" w:line="372" w:lineRule="auto"/>
      <w:outlineLvl w:val="3"/>
    </w:pPr>
    <w:rPr>
      <w:rFonts w:ascii="Arial" w:hAnsi="Arial" w:eastAsia="黑体"/>
      <w:b/>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5"/>
    <w:autoRedefine/>
    <w:unhideWhenUsed/>
    <w:qFormat/>
    <w:uiPriority w:val="99"/>
    <w:pPr>
      <w:spacing w:before="100" w:beforeAutospacing="1" w:after="120"/>
    </w:pPr>
  </w:style>
  <w:style w:type="paragraph" w:styleId="5">
    <w:name w:val="Body Text 2"/>
    <w:basedOn w:val="1"/>
    <w:next w:val="4"/>
    <w:autoRedefine/>
    <w:qFormat/>
    <w:uiPriority w:val="99"/>
    <w:pPr>
      <w:spacing w:after="120" w:line="480" w:lineRule="auto"/>
      <w:ind w:firstLine="560" w:firstLineChars="0"/>
      <w:jc w:val="left"/>
    </w:pPr>
    <w:rPr>
      <w:rFonts w:ascii="Calibri" w:hAnsi="Calibri" w:eastAsia="Times New Roman" w:cs="Calibri"/>
      <w:color w:val="000000"/>
      <w:kern w:val="0"/>
      <w:szCs w:val="24"/>
      <w:lang w:eastAsia="en-US" w:bidi="en-US"/>
    </w:rPr>
  </w:style>
  <w:style w:type="paragraph" w:styleId="6">
    <w:name w:val="Body Text Indent"/>
    <w:basedOn w:val="1"/>
    <w:autoRedefine/>
    <w:unhideWhenUsed/>
    <w:qFormat/>
    <w:uiPriority w:val="99"/>
    <w:pPr>
      <w:spacing w:after="120"/>
      <w:ind w:left="420" w:leftChars="200"/>
    </w:pPr>
  </w:style>
  <w:style w:type="paragraph" w:styleId="7">
    <w:name w:val="Block Text"/>
    <w:basedOn w:val="1"/>
    <w:autoRedefine/>
    <w:qFormat/>
    <w:uiPriority w:val="99"/>
    <w:pPr>
      <w:spacing w:line="300" w:lineRule="exact"/>
      <w:ind w:left="-105" w:leftChars="-50" w:right="-105" w:rightChars="-50" w:firstLine="0" w:firstLineChars="0"/>
      <w:jc w:val="center"/>
    </w:pPr>
    <w:rPr>
      <w:rFonts w:ascii="宋体" w:hAnsi="宋体"/>
      <w:sz w:val="18"/>
      <w:szCs w:val="20"/>
    </w:rPr>
  </w:style>
  <w:style w:type="paragraph" w:styleId="8">
    <w:name w:val="footer"/>
    <w:basedOn w:val="1"/>
    <w:autoRedefine/>
    <w:unhideWhenUsed/>
    <w:qFormat/>
    <w:uiPriority w:val="99"/>
    <w:pPr>
      <w:tabs>
        <w:tab w:val="center" w:pos="4153"/>
        <w:tab w:val="right" w:pos="8306"/>
      </w:tabs>
      <w:snapToGrid w:val="0"/>
    </w:pPr>
    <w:rPr>
      <w:sz w:val="18"/>
      <w:szCs w:val="18"/>
    </w:rPr>
  </w:style>
  <w:style w:type="paragraph" w:styleId="9">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unhideWhenUsed/>
    <w:qFormat/>
    <w:uiPriority w:val="39"/>
    <w:pPr>
      <w:tabs>
        <w:tab w:val="right" w:leader="dot" w:pos="8296"/>
      </w:tabs>
      <w:jc w:val="center"/>
    </w:pPr>
    <w:rPr>
      <w:rFonts w:ascii="仿宋" w:hAnsi="仿宋" w:eastAsia="仿宋"/>
      <w:b/>
      <w:bCs/>
      <w:sz w:val="22"/>
      <w:szCs w:val="28"/>
    </w:rPr>
  </w:style>
  <w:style w:type="paragraph" w:styleId="11">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2"/>
    <w:basedOn w:val="6"/>
    <w:autoRedefine/>
    <w:qFormat/>
    <w:uiPriority w:val="0"/>
    <w:pPr>
      <w:ind w:firstLine="420" w:firstLineChars="200"/>
    </w:pPr>
  </w:style>
  <w:style w:type="character" w:styleId="15">
    <w:name w:val="Strong"/>
    <w:basedOn w:val="14"/>
    <w:autoRedefine/>
    <w:qFormat/>
    <w:uiPriority w:val="0"/>
    <w:rPr>
      <w:b/>
    </w:rPr>
  </w:style>
  <w:style w:type="paragraph" w:customStyle="1" w:styleId="16">
    <w:name w:val="章标题"/>
    <w:basedOn w:val="1"/>
    <w:next w:val="17"/>
    <w:autoRedefine/>
    <w:qFormat/>
    <w:uiPriority w:val="0"/>
    <w:pPr>
      <w:widowControl/>
      <w:spacing w:before="158" w:after="153" w:line="323" w:lineRule="atLeast"/>
      <w:ind w:right="-120"/>
      <w:jc w:val="center"/>
      <w:textAlignment w:val="baseline"/>
    </w:pPr>
    <w:rPr>
      <w:color w:val="FF0000"/>
      <w:kern w:val="0"/>
      <w:sz w:val="18"/>
      <w:szCs w:val="18"/>
    </w:rPr>
  </w:style>
  <w:style w:type="paragraph" w:customStyle="1" w:styleId="17">
    <w:name w:val="节标题"/>
    <w:basedOn w:val="1"/>
    <w:next w:val="1"/>
    <w:autoRedefine/>
    <w:qFormat/>
    <w:uiPriority w:val="0"/>
    <w:pPr>
      <w:widowControl/>
      <w:spacing w:line="289" w:lineRule="atLeast"/>
      <w:jc w:val="center"/>
      <w:textAlignment w:val="baseline"/>
    </w:pPr>
    <w:rPr>
      <w:color w:val="000000"/>
      <w:kern w:val="0"/>
      <w:sz w:val="28"/>
      <w:szCs w:val="20"/>
    </w:rPr>
  </w:style>
  <w:style w:type="character" w:customStyle="1" w:styleId="18">
    <w:name w:val="font51"/>
    <w:basedOn w:val="14"/>
    <w:qFormat/>
    <w:uiPriority w:val="0"/>
    <w:rPr>
      <w:rFonts w:ascii="仿宋" w:hAnsi="仿宋" w:eastAsia="仿宋" w:cs="仿宋"/>
      <w:b/>
      <w:bCs/>
      <w:color w:val="000000"/>
      <w:sz w:val="12"/>
      <w:szCs w:val="12"/>
      <w:u w:val="none"/>
    </w:rPr>
  </w:style>
  <w:style w:type="character" w:customStyle="1" w:styleId="19">
    <w:name w:val="font71"/>
    <w:basedOn w:val="14"/>
    <w:qFormat/>
    <w:uiPriority w:val="0"/>
    <w:rPr>
      <w:rFonts w:hint="eastAsia" w:ascii="宋体" w:hAnsi="宋体" w:eastAsia="宋体" w:cs="宋体"/>
      <w:b/>
      <w:bCs/>
      <w:color w:val="000000"/>
      <w:sz w:val="12"/>
      <w:szCs w:val="12"/>
      <w:u w:val="none"/>
    </w:rPr>
  </w:style>
  <w:style w:type="character" w:customStyle="1" w:styleId="20">
    <w:name w:val="font41"/>
    <w:basedOn w:val="14"/>
    <w:qFormat/>
    <w:uiPriority w:val="0"/>
    <w:rPr>
      <w:rFonts w:hint="default" w:ascii="Times New Roman" w:hAnsi="Times New Roman" w:cs="Times New Roman"/>
      <w:b/>
      <w:bCs/>
      <w:color w:val="000000"/>
      <w:sz w:val="12"/>
      <w:szCs w:val="12"/>
      <w:u w:val="none"/>
    </w:rPr>
  </w:style>
  <w:style w:type="character" w:customStyle="1" w:styleId="21">
    <w:name w:val="font21"/>
    <w:basedOn w:val="14"/>
    <w:qFormat/>
    <w:uiPriority w:val="0"/>
    <w:rPr>
      <w:rFonts w:hint="eastAsia" w:ascii="仿宋" w:hAnsi="仿宋" w:eastAsia="仿宋" w:cs="仿宋"/>
      <w:color w:val="000000"/>
      <w:sz w:val="12"/>
      <w:szCs w:val="1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5583</Words>
  <Characters>7224</Characters>
  <Lines>0</Lines>
  <Paragraphs>0</Paragraphs>
  <TotalTime>0</TotalTime>
  <ScaleCrop>false</ScaleCrop>
  <LinksUpToDate>false</LinksUpToDate>
  <CharactersWithSpaces>7495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2020-08-10T02:22:00Z</dcterms:created>
  <dc:creator>浪漫是一种病</dc:creator>
  <cp:lastModifiedBy>YYQX</cp:lastModifiedBy>
  <dcterms:modified xsi:type="dcterms:W3CDTF">2025-12-18T09:42:37Z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6B976D7A39994C5BB9B2668FF160227F_13</vt:lpwstr>
  </property>
  <property fmtid="{D5CDD505-2E9C-101B-9397-08002B2CF9AE}" pid="4" name="KSOTemplateDocerSaveRecord">
    <vt:lpwstr>eyJoZGlkIjoiOTY1ZDI3YjNjYmFmNmY4MjMyZTkwZmEzMmJmODYyMGUiLCJ1c2VySWQiOiI3Mzk0MTEwMTAifQ==</vt:lpwstr>
  </property>
</Properties>
</file>